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0" w:hanging="0"/>
        <w:jc w:val="right"/>
        <w:outlineLvl w:val="0"/>
        <w:rPr>
          <w:rFonts w:ascii="Calibri" w:hAnsi="Calibri"/>
        </w:rPr>
      </w:pPr>
      <w:r>
        <w:rPr>
          <w:rFonts w:ascii="Calibri" w:hAnsi="Calibri"/>
        </w:rPr>
        <w:t>УТВЕРЖДАЮ</w:t>
      </w:r>
    </w:p>
    <w:p>
      <w:pPr>
        <w:pStyle w:val="Normal"/>
        <w:ind w:left="7938" w:hanging="0"/>
        <w:rPr/>
      </w:pPr>
      <w:r>
        <w:rPr>
          <w:rFonts w:ascii="Calibri" w:hAnsi="Calibri"/>
        </w:rPr>
        <w:t xml:space="preserve">                                                      </w:t>
      </w:r>
      <w:r>
        <w:rPr>
          <w:rFonts w:ascii="Calibri" w:hAnsi="Calibri"/>
        </w:rPr>
        <w:t xml:space="preserve">Начальник ГКУ  «ОСЗН Мглинского  </w:t>
      </w:r>
    </w:p>
    <w:p>
      <w:pPr>
        <w:pStyle w:val="Normal"/>
        <w:ind w:left="7938" w:hanging="0"/>
        <w:rPr/>
      </w:pPr>
      <w:r>
        <w:rPr>
          <w:rFonts w:ascii="Calibri" w:hAnsi="Calibri"/>
        </w:rPr>
        <w:t xml:space="preserve">                                                       </w:t>
      </w:r>
      <w:r>
        <w:rPr>
          <w:rFonts w:ascii="Calibri" w:hAnsi="Calibri"/>
        </w:rPr>
        <w:t xml:space="preserve">района »                    </w:t>
      </w:r>
    </w:p>
    <w:p>
      <w:pPr>
        <w:pStyle w:val="Normal"/>
        <w:ind w:left="7938" w:hanging="0"/>
        <w:jc w:val="right"/>
        <w:rPr>
          <w:rFonts w:ascii="Calibri" w:hAnsi="Calibri"/>
        </w:rPr>
      </w:pPr>
      <w:r>
        <w:rPr>
          <w:rFonts w:ascii="Calibri" w:hAnsi="Calibri"/>
        </w:rPr>
        <w:t>_____________А.В.Полозова</w:t>
      </w:r>
    </w:p>
    <w:p>
      <w:pPr>
        <w:pStyle w:val="Normal"/>
        <w:tabs>
          <w:tab w:val="clear" w:pos="708"/>
          <w:tab w:val="left" w:pos="9855" w:leader="none"/>
        </w:tabs>
        <w:jc w:val="right"/>
        <w:rPr/>
      </w:pPr>
      <w:r>
        <w:rPr>
          <w:rFonts w:ascii="Calibri" w:hAnsi="Calibri"/>
        </w:rPr>
        <w:t xml:space="preserve">                                                                                        </w:t>
      </w:r>
      <w:r>
        <w:rPr>
          <w:rFonts w:ascii="Calibri" w:hAnsi="Calibri"/>
        </w:rPr>
        <w:t>«29» декабря 2021г.</w:t>
      </w:r>
    </w:p>
    <w:p>
      <w:pPr>
        <w:pStyle w:val="Normal"/>
        <w:numPr>
          <w:ilvl w:val="0"/>
          <w:numId w:val="0"/>
        </w:numPr>
        <w:ind w:left="0" w:hanging="0"/>
        <w:jc w:val="center"/>
        <w:outlineLvl w:val="0"/>
        <w:rPr>
          <w:rFonts w:ascii="Calibri" w:hAnsi="Calibri"/>
          <w:b/>
          <w:b/>
        </w:rPr>
      </w:pPr>
      <w:r>
        <w:rPr>
          <w:rFonts w:ascii="Calibri" w:hAnsi="Calibri"/>
          <w:b/>
        </w:rPr>
        <w:t>ПЛАН РАБОТЫ</w:t>
      </w:r>
    </w:p>
    <w:p>
      <w:pPr>
        <w:pStyle w:val="Normal"/>
        <w:jc w:val="center"/>
        <w:rPr/>
      </w:pPr>
      <w:r>
        <w:rPr>
          <w:rFonts w:ascii="Calibri" w:hAnsi="Calibri"/>
        </w:rPr>
        <w:t xml:space="preserve">ГКУ «Отдел социальной защиты Мглинского района»     </w:t>
      </w:r>
    </w:p>
    <w:p>
      <w:pPr>
        <w:pStyle w:val="Normal"/>
        <w:jc w:val="center"/>
        <w:rPr/>
      </w:pPr>
      <w:r>
        <w:rPr>
          <w:rFonts w:ascii="Calibri" w:hAnsi="Calibri"/>
        </w:rPr>
        <w:t>на  2022 год</w:t>
      </w:r>
    </w:p>
    <w:p>
      <w:pPr>
        <w:pStyle w:val="Normal"/>
        <w:jc w:val="center"/>
        <w:rPr>
          <w:rFonts w:ascii="Calibri" w:hAnsi="Calibri"/>
        </w:rPr>
      </w:pPr>
      <w:r>
        <w:rPr>
          <w:rFonts w:ascii="Calibri" w:hAnsi="Calibri"/>
        </w:rPr>
      </w:r>
    </w:p>
    <w:tbl>
      <w:tblPr>
        <w:tblW w:w="15014" w:type="dxa"/>
        <w:jc w:val="center"/>
        <w:tblInd w:w="0" w:type="dxa"/>
        <w:tblCellMar>
          <w:top w:w="0" w:type="dxa"/>
          <w:left w:w="103" w:type="dxa"/>
          <w:bottom w:w="0" w:type="dxa"/>
          <w:right w:w="108" w:type="dxa"/>
        </w:tblCellMar>
        <w:tblLook w:val="0000"/>
      </w:tblPr>
      <w:tblGrid>
        <w:gridCol w:w="675"/>
        <w:gridCol w:w="6980"/>
        <w:gridCol w:w="48"/>
        <w:gridCol w:w="2841"/>
        <w:gridCol w:w="2605"/>
        <w:gridCol w:w="3"/>
        <w:gridCol w:w="1862"/>
      </w:tblGrid>
      <w:tr>
        <w:trPr>
          <w:trHeight w:val="661"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b/>
                <w:b/>
              </w:rPr>
            </w:pPr>
            <w:r>
              <w:rPr>
                <w:rFonts w:ascii="Calibri" w:hAnsi="Calibri"/>
                <w:b/>
              </w:rPr>
            </w:r>
          </w:p>
          <w:p>
            <w:pPr>
              <w:pStyle w:val="Normal"/>
              <w:widowControl w:val="false"/>
              <w:rPr>
                <w:rFonts w:ascii="Calibri" w:hAnsi="Calibri"/>
                <w:b/>
                <w:b/>
              </w:rPr>
            </w:pPr>
            <w:r>
              <w:rPr>
                <w:rFonts w:ascii="Calibri" w:hAnsi="Calibri"/>
                <w:b/>
              </w:rPr>
              <w:t>№№</w:t>
            </w:r>
          </w:p>
          <w:p>
            <w:pPr>
              <w:pStyle w:val="Normal"/>
              <w:widowControl w:val="false"/>
              <w:rPr>
                <w:rFonts w:ascii="Calibri" w:hAnsi="Calibri"/>
                <w:b/>
                <w:b/>
              </w:rPr>
            </w:pPr>
            <w:r>
              <w:rPr>
                <w:rFonts w:ascii="Calibri" w:hAnsi="Calibri"/>
                <w:b/>
              </w:rPr>
              <w:t>п/п</w:t>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b/>
                <w:b/>
              </w:rPr>
            </w:pPr>
            <w:r>
              <w:rPr>
                <w:rFonts w:ascii="Calibri" w:hAnsi="Calibri"/>
                <w:b/>
              </w:rPr>
            </w:r>
          </w:p>
          <w:p>
            <w:pPr>
              <w:pStyle w:val="Normal"/>
              <w:widowControl w:val="false"/>
              <w:jc w:val="center"/>
              <w:rPr>
                <w:rFonts w:ascii="Calibri" w:hAnsi="Calibri"/>
                <w:b/>
                <w:b/>
              </w:rPr>
            </w:pPr>
            <w:r>
              <w:rPr>
                <w:rFonts w:ascii="Calibri" w:hAnsi="Calibri"/>
                <w:b/>
              </w:rPr>
              <w:t>Наименование мероприятия</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p>
            <w:pPr>
              <w:pStyle w:val="Normal"/>
              <w:widowControl w:val="false"/>
              <w:jc w:val="center"/>
              <w:rPr/>
            </w:pPr>
            <w:r>
              <w:rPr>
                <w:rFonts w:ascii="Calibri" w:hAnsi="Calibri"/>
                <w:b/>
              </w:rPr>
              <w:t>Сроки исполнения</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b/>
                <w:b/>
              </w:rPr>
            </w:pPr>
            <w:r>
              <w:rPr>
                <w:rFonts w:ascii="Calibri" w:hAnsi="Calibri"/>
                <w:b/>
              </w:rPr>
            </w:r>
          </w:p>
          <w:p>
            <w:pPr>
              <w:pStyle w:val="Normal"/>
              <w:widowControl w:val="false"/>
              <w:jc w:val="center"/>
              <w:rPr>
                <w:rFonts w:ascii="Calibri" w:hAnsi="Calibri"/>
                <w:b/>
                <w:b/>
              </w:rPr>
            </w:pPr>
            <w:r>
              <w:rPr>
                <w:rFonts w:ascii="Calibri" w:hAnsi="Calibri"/>
                <w:b/>
              </w:rPr>
              <w:t>Ответственный</w:t>
            </w:r>
          </w:p>
          <w:p>
            <w:pPr>
              <w:pStyle w:val="Normal"/>
              <w:widowControl w:val="false"/>
              <w:jc w:val="center"/>
              <w:rPr>
                <w:rFonts w:ascii="Calibri" w:hAnsi="Calibri"/>
                <w:b/>
                <w:b/>
              </w:rPr>
            </w:pPr>
            <w:r>
              <w:rPr>
                <w:rFonts w:ascii="Calibri" w:hAnsi="Calibri"/>
                <w:b/>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b/>
                <w:b/>
              </w:rPr>
            </w:pPr>
            <w:r>
              <w:rPr>
                <w:rFonts w:ascii="Calibri" w:hAnsi="Calibri"/>
                <w:b/>
              </w:rPr>
            </w:r>
          </w:p>
          <w:p>
            <w:pPr>
              <w:pStyle w:val="Normal"/>
              <w:widowControl w:val="false"/>
              <w:jc w:val="center"/>
              <w:rPr>
                <w:rFonts w:ascii="Calibri" w:hAnsi="Calibri"/>
                <w:b/>
                <w:b/>
              </w:rPr>
            </w:pPr>
            <w:r>
              <w:rPr>
                <w:rFonts w:ascii="Calibri" w:hAnsi="Calibri"/>
                <w:b/>
              </w:rPr>
              <w:t>Примечание</w:t>
            </w:r>
          </w:p>
        </w:tc>
      </w:tr>
      <w:tr>
        <w:trPr>
          <w:trHeight w:val="322"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rPr>
            </w:pPr>
            <w:r>
              <w:rPr>
                <w:rFonts w:ascii="Calibri" w:hAnsi="Calibri"/>
              </w:rPr>
              <w:t>1</w:t>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rPr>
            </w:pPr>
            <w:r>
              <w:rPr>
                <w:rFonts w:ascii="Calibri" w:hAnsi="Calibri"/>
              </w:rPr>
              <w:t>2</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ascii="Calibri" w:hAnsi="Calibri"/>
              </w:rPr>
              <w:t>3</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rPr>
            </w:pPr>
            <w:r>
              <w:rPr>
                <w:rFonts w:ascii="Calibri" w:hAnsi="Calibri"/>
              </w:rPr>
              <w:t>4</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rPr>
            </w:pPr>
            <w:r>
              <w:rPr>
                <w:rFonts w:ascii="Calibri" w:hAnsi="Calibri"/>
              </w:rPr>
              <w:t>5</w:t>
            </w:r>
          </w:p>
        </w:tc>
      </w:tr>
      <w:tr>
        <w:trPr>
          <w:trHeight w:val="325" w:hRule="atLeast"/>
        </w:trPr>
        <w:tc>
          <w:tcPr>
            <w:tcW w:w="150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ascii="Calibri" w:hAnsi="Calibri"/>
                <w:b/>
                <w:lang w:val="en-US"/>
              </w:rPr>
              <w:t>01</w:t>
            </w:r>
            <w:r>
              <w:rPr>
                <w:rFonts w:ascii="Calibri" w:hAnsi="Calibri"/>
                <w:b/>
              </w:rPr>
              <w:t>. Руководство, программист</w:t>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Прием и консультация граждан</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Контроль за назначением выплат, пособий и компенсаций</w:t>
            </w:r>
          </w:p>
          <w:p>
            <w:pPr>
              <w:pStyle w:val="Normal"/>
              <w:widowControl w:val="false"/>
              <w:rPr>
                <w:rFonts w:ascii="Tinos" w:hAnsi="Tinos"/>
              </w:rPr>
            </w:pPr>
            <w:r>
              <w:rPr>
                <w:rFonts w:ascii="Tinos" w:hAnsi="Tinos"/>
              </w:rPr>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всего периода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Контроль за соблюдением сотрудниками требований в сфере защиты персональных данных</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всего периода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Разработка локальных нормативных актов по основной деятельности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необходимости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Подготовка и направление отчетности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отдельному плану</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Проведение мероприятий по пожарной безопасности, охране труда,  электробезопасности, энергосбережению, ГО и ЧС, антитеррористической защищенности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отдельному плану</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Полозова А.В.</w:t>
            </w:r>
          </w:p>
          <w:p>
            <w:pPr>
              <w:pStyle w:val="Normal"/>
              <w:widowControl w:val="false"/>
              <w:rPr>
                <w:rFonts w:ascii="Calibri" w:hAnsi="Calibri"/>
              </w:rPr>
            </w:pPr>
            <w:r>
              <w:rPr>
                <w:rFonts w:ascii="Calibri" w:hAnsi="Calibri"/>
              </w:rPr>
              <w:t>Маврин А.М.</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150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Подготовка  приказов по личному составу</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всего периода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Подготовка проектов приказов по основной деятельности, по хозяйственной деятельности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всего периода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Регистрация приказов по личному составу и основной деятельности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издания</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Ознакомление сотрудников с приказами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3 дней с момента регистрации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Ведение личных дел работников, внесение дополнений, изменений (отпуска, паспортные данные, телефоны, награды и др.)</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Постоянно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Формирование личных дел  работников, внесение дополнений, изменений</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При приеме на работу, по мере необходимости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Заполнение трудовых книжек и вкладышей к ним, книги учета движения трудовых книжек и вкладышей, оформление трудовых договоров и дополнительных соглашений  к трудовым договорам</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При приеме на работу, по мере необходимости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Полозова А.В.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Контроль соблюдения графика отпусков</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года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Учет рабочего времени работников, составление табеля</w:t>
            </w:r>
          </w:p>
          <w:p>
            <w:pPr>
              <w:pStyle w:val="Normal"/>
              <w:widowControl w:val="false"/>
              <w:rPr>
                <w:rFonts w:ascii="Tinos" w:hAnsi="Tinos"/>
              </w:rPr>
            </w:pPr>
            <w:r>
              <w:rPr>
                <w:rFonts w:ascii="Tinos" w:hAnsi="Tinos"/>
              </w:rPr>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Постоянно,</w:t>
            </w:r>
          </w:p>
          <w:p>
            <w:pPr>
              <w:pStyle w:val="Normal"/>
              <w:widowControl w:val="false"/>
              <w:rPr/>
            </w:pPr>
            <w:r>
              <w:rPr>
                <w:rFonts w:ascii="Tinos" w:hAnsi="Tinos"/>
              </w:rPr>
              <w:t>ежемесячно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Отчетность по кадрам и вакансиям</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Салькова Т.В.</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 </w:t>
            </w:r>
            <w:r>
              <w:rPr>
                <w:rFonts w:ascii="Tinos" w:hAnsi="Tinos"/>
              </w:rPr>
              <w:t>Прием поступающей в учреждение из других организаций корреспонденции, ее регистрация, передача после рассмотрения руководителем конкретным исполнителям для использования в процессе работы либо подготовки ответа</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 </w:t>
            </w:r>
            <w:r>
              <w:rPr>
                <w:rFonts w:ascii="Tinos" w:hAnsi="Tinos"/>
              </w:rPr>
              <w:t>Якимович Н.В.</w:t>
            </w:r>
          </w:p>
          <w:p>
            <w:pPr>
              <w:pStyle w:val="Normal"/>
              <w:widowControl w:val="false"/>
              <w:rPr>
                <w:rFonts w:ascii="Calibri" w:hAnsi="Calibri"/>
              </w:rPr>
            </w:pPr>
            <w:r>
              <w:rPr>
                <w:rFonts w:ascii="Tinos" w:hAnsi="Tinos"/>
              </w:rPr>
              <w:t>Маврин А.М.</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Регистрация письменных обращений граждан (заявлений, жалоб)</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день поступления</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Регистрация исходящей корреспонденции, конвертация, составление реестра</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150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ascii="Calibri" w:hAnsi="Calibri"/>
                <w:b/>
                <w:lang w:val="en-US"/>
              </w:rPr>
              <w:t>01-2</w:t>
            </w:r>
            <w:r>
              <w:rPr>
                <w:rFonts w:ascii="Calibri" w:hAnsi="Calibri"/>
                <w:b/>
              </w:rPr>
              <w:t>.</w:t>
            </w:r>
            <w:r>
              <w:rPr>
                <w:rFonts w:ascii="Calibri" w:hAnsi="Calibri"/>
                <w:b/>
                <w:lang w:val="en-US"/>
              </w:rPr>
              <w:t xml:space="preserve"> </w:t>
            </w:r>
            <w:r>
              <w:rPr>
                <w:rFonts w:ascii="Calibri" w:hAnsi="Calibri"/>
                <w:b/>
              </w:rPr>
              <w:t>Программист- администратор базы данных</w:t>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
              </w:numPr>
              <w:rPr>
                <w:rFonts w:ascii="Calibri" w:hAnsi="Calibri"/>
              </w:rPr>
            </w:pPr>
            <w:r>
              <w:rPr>
                <w:rFonts w:ascii="Calibri" w:hAnsi="Calibri"/>
              </w:rPr>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Отчетность по федеральным детским пособиям перед Минтрудом.</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 до 5 числа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Маврин А.М.</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1.33</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Загрузка и выгрузка баз по ветеранам  ОГБД. Отчетность по результатам выгрузки.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Ежеквартально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1.34</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Обновление программ, модулей, плагинов справочников, исполнение  технических заданий</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поступления</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1.35</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Выполнение выплатных операции по  пособиям и компенсациям согласно технического задания</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 согласно индивидуального графика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1.36</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Отправка реестров получателей всех выплат на кредитные учреждения</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Согласно графика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1.37</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Формирование дополнительных разовых выплат по Детским пособиям </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Согласно графика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1.38</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Подведение окончательных итогов по Разовым выплатам</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p>
            <w:pPr>
              <w:pStyle w:val="Normal"/>
              <w:widowControl w:val="false"/>
              <w:rPr/>
            </w:pPr>
            <w:r>
              <w:rPr>
                <w:rFonts w:ascii="Tinos" w:hAnsi="Tinos"/>
              </w:rPr>
              <w:t>до 1 числа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1.39</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Выгрузка из базы АСП и отправка файлов обмена организациям  выполняющим расчет коммунальных услуг гражданам.</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p>
            <w:pPr>
              <w:pStyle w:val="Normal"/>
              <w:widowControl w:val="false"/>
              <w:rPr/>
            </w:pPr>
            <w:r>
              <w:rPr>
                <w:rFonts w:ascii="Tinos" w:hAnsi="Tinos"/>
              </w:rPr>
              <w:t>до 5 числа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1.40</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Получение и загрузка в базу АСП файлов обмена от организаций, выполняющих расчет коммунальных услуг</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p>
            <w:pPr>
              <w:pStyle w:val="Normal"/>
              <w:widowControl w:val="false"/>
              <w:rPr/>
            </w:pPr>
            <w:r>
              <w:rPr>
                <w:rFonts w:ascii="Tinos" w:hAnsi="Tinos"/>
              </w:rPr>
              <w:t>с 10 до 20 числа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1.41</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Выгрузка социальной поддержки гражданам имеющим право на получение федеральной социальной доплаты к пенсии (ФСД)</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p>
            <w:pPr>
              <w:pStyle w:val="Normal"/>
              <w:widowControl w:val="false"/>
              <w:rPr/>
            </w:pPr>
            <w:r>
              <w:rPr>
                <w:rFonts w:ascii="Tinos" w:hAnsi="Tinos"/>
              </w:rPr>
              <w:t>согласно графика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1.42</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Печать ведомостей и реестров на почту по выплатам</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p>
            <w:pPr>
              <w:pStyle w:val="Normal"/>
              <w:widowControl w:val="false"/>
              <w:rPr/>
            </w:pPr>
            <w:r>
              <w:rPr>
                <w:rFonts w:ascii="Tinos" w:hAnsi="Tinos"/>
              </w:rPr>
              <w:t>согласно графика</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1.43</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Передача на заправку картриджей, осуществление ремонта и диагностики техники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необходимости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1.44</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Получение и отправка почты  по VipNet, Mail.ru</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1.45</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Прием, перераспределение входящей корреспонденции, обработка, подготовка и отправка ответов на полученные письма по электронным каналам связи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1.46</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Оказание индивидуальной консультативной помощи специалистам в разрешении сложных задач, формировании различных выгрузок, списков</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необходимости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2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Calibri" w:hAnsi="Calibri"/>
              </w:rPr>
              <w:t>1.47</w:t>
            </w:r>
          </w:p>
        </w:tc>
        <w:tc>
          <w:tcPr>
            <w:tcW w:w="69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Размещение на сайт организации информации, касающейся деятельности организации</w:t>
            </w:r>
          </w:p>
        </w:tc>
        <w:tc>
          <w:tcPr>
            <w:tcW w:w="2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необходимости</w:t>
            </w:r>
          </w:p>
        </w:tc>
        <w:tc>
          <w:tcPr>
            <w:tcW w:w="26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Маврин А.М.</w:t>
            </w:r>
          </w:p>
        </w:tc>
        <w:tc>
          <w:tcPr>
            <w:tcW w:w="18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r>
      <w:tr>
        <w:trPr>
          <w:trHeight w:val="429" w:hRule="atLeast"/>
        </w:trPr>
        <w:tc>
          <w:tcPr>
            <w:tcW w:w="150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ascii="Tinos" w:hAnsi="Tinos"/>
                <w:b/>
              </w:rPr>
              <w:t>02. Бухгалтерия</w:t>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Разработка, составление  учетной политики отдела на 2022 год</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декабрь 2021</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Салькова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Составление бухгалтерской отчетности (баланс),предоставление в департамент семьи, социальной и демографической политики Брянской области,  размещение в программном комплексе «Свод-</w:t>
            </w:r>
            <w:r>
              <w:rPr>
                <w:rFonts w:ascii="Tinos" w:hAnsi="Tinos"/>
                <w:lang w:val="en-US"/>
              </w:rPr>
              <w:t>WEB</w:t>
            </w:r>
            <w:r>
              <w:rPr>
                <w:rFonts w:ascii="Tinos" w:hAnsi="Tinos"/>
              </w:rPr>
              <w:t>»; выгрузка в 1 С «Свод отчетов»</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Сроки, установленные графиком ДССиДП Брянской обл.</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Составление и предоставление отчетности в департамент семьи, социальной и демографической политики Брянской области:</w:t>
            </w:r>
          </w:p>
          <w:p>
            <w:pPr>
              <w:pStyle w:val="Normal"/>
              <w:widowControl w:val="false"/>
              <w:rPr>
                <w:rFonts w:ascii="Calibri" w:hAnsi="Calibri"/>
              </w:rPr>
            </w:pPr>
            <w:r>
              <w:rPr>
                <w:rFonts w:ascii="Tinos" w:hAnsi="Tinos"/>
              </w:rPr>
              <w:t>-квартальная отчетность.</w:t>
            </w:r>
          </w:p>
          <w:p>
            <w:pPr>
              <w:pStyle w:val="Normal"/>
              <w:widowControl w:val="false"/>
              <w:rPr>
                <w:rFonts w:ascii="Calibri" w:hAnsi="Calibri"/>
              </w:rPr>
            </w:pPr>
            <w:r>
              <w:rPr>
                <w:rFonts w:ascii="Tinos" w:hAnsi="Tinos"/>
              </w:rPr>
              <w:t>Выгрузка в 1С «Свод отчетов»</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Ежеквартально,</w:t>
            </w:r>
          </w:p>
          <w:p>
            <w:pPr>
              <w:pStyle w:val="Normal"/>
              <w:widowControl w:val="false"/>
              <w:rPr/>
            </w:pPr>
            <w:r>
              <w:rPr>
                <w:rFonts w:ascii="Tinos" w:hAnsi="Tinos"/>
              </w:rPr>
              <w:t>до 5-7 числа месяца, следующего за отчетным</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Составление и сдача расчета по начисленным и уплаченным страховым взносам на обязательное страхование по форме 4-ФСС в ГУ БРО ФСС РФ</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Годовой до 15.01.2022г;</w:t>
            </w:r>
          </w:p>
          <w:p>
            <w:pPr>
              <w:pStyle w:val="Normal"/>
              <w:widowControl w:val="false"/>
              <w:rPr/>
            </w:pPr>
            <w:r>
              <w:rPr>
                <w:rFonts w:ascii="Tinos" w:hAnsi="Tinos"/>
              </w:rPr>
              <w:t>ежеквартально  до 20 числа месяца, следующего за отчетным кв.</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Салькова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Подтверждение основного вида экономической деятельности в ГУ БРО ФСС РФ</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Годовой</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Индивидуальные сведения о страховых взносах и страховом стаже застрахованных лиц в ОПФР по Брянской области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Годовой,</w:t>
            </w:r>
          </w:p>
          <w:p>
            <w:pPr>
              <w:pStyle w:val="Normal"/>
              <w:widowControl w:val="false"/>
              <w:rPr/>
            </w:pPr>
            <w:r>
              <w:rPr>
                <w:rFonts w:ascii="Tinos" w:hAnsi="Tinos"/>
              </w:rPr>
              <w:t>ежеквартально -согласно граф. ОПФР по Брянской обл.</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Расчет по начисленным и уплаченным взносам ОПС и ОМС в ОПФР по Брянской области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Годовой,</w:t>
            </w:r>
          </w:p>
          <w:p>
            <w:pPr>
              <w:pStyle w:val="Normal"/>
              <w:widowControl w:val="false"/>
              <w:rPr/>
            </w:pPr>
            <w:r>
              <w:rPr>
                <w:rFonts w:ascii="Tinos" w:hAnsi="Tinos"/>
              </w:rPr>
              <w:t>ежеквартально -согласно граф. ОПФР по Брянской обл.</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Подготовка и предоставление  расчета платы за негативное воздействие на окружающую среду в Росприроднадзор</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Ежеквартально, до 20 числа месяца, следующего за отчетным</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Предоставление в ИФНС России  сведений о среднесписочной численности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Годовой, не позднее 20 января 2021г.</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highlight w:val="yellow"/>
              </w:rPr>
            </w:pPr>
            <w:r>
              <w:rPr>
                <w:rFonts w:ascii="Calibri" w:hAnsi="Calibri"/>
                <w:highlight w:val="yellow"/>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lang w:val="ru-RU"/>
              </w:rPr>
            </w:pPr>
            <w:r>
              <w:rPr>
                <w:rFonts w:ascii="Tinos" w:hAnsi="Tinos"/>
                <w:shd w:fill="auto" w:val="clear"/>
                <w:lang w:val="ru-RU"/>
              </w:rPr>
              <w:t>Составление и публикация отчета об объеме закупок у СМП и СОНКО</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shd w:fill="auto" w:val="clear"/>
              </w:rPr>
              <w:t>Не позднее 1 апреля года, следующего за истекшим налоговым периодом</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highlight w:val="yellow"/>
              </w:rPr>
            </w:pPr>
            <w:r>
              <w:rPr>
                <w:rFonts w:ascii="Calibri" w:hAnsi="Calibri"/>
                <w:b/>
                <w:highlight w:val="yellow"/>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Предоставление декларации по налогу на прибыль в ИФНС России </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Ежеквартально</w:t>
            </w:r>
          </w:p>
          <w:p>
            <w:pPr>
              <w:pStyle w:val="Normal"/>
              <w:widowControl w:val="false"/>
              <w:rPr/>
            </w:pPr>
            <w:r>
              <w:rPr>
                <w:rFonts w:ascii="Tinos" w:hAnsi="Tinos"/>
              </w:rPr>
              <w:t>налоговая декларация за год – не позднее  28 марта года,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highlight w:val="white"/>
              </w:rPr>
            </w:pPr>
            <w:r>
              <w:rPr>
                <w:rFonts w:ascii="Calibri" w:hAnsi="Calibri"/>
                <w:highlight w:val="white"/>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eastAsia="Times New Roman" w:cs="Times New Roman"/>
                <w:color w:val="auto"/>
                <w:kern w:val="0"/>
                <w:sz w:val="24"/>
                <w:szCs w:val="24"/>
                <w:highlight w:val="white"/>
                <w:lang w:val="ru-RU" w:eastAsia="ru-RU" w:bidi="ar-SA"/>
              </w:rPr>
            </w:pPr>
            <w:r>
              <w:rPr>
                <w:rFonts w:eastAsia="Times New Roman" w:cs="Times New Roman" w:ascii="Tinos" w:hAnsi="Tinos"/>
                <w:color w:val="000000"/>
                <w:kern w:val="0"/>
                <w:sz w:val="24"/>
                <w:szCs w:val="24"/>
                <w:shd w:fill="FFFFFF" w:val="clear"/>
                <w:lang w:val="ru-RU" w:eastAsia="ru-RU" w:bidi="ar-SA"/>
              </w:rPr>
              <w:t>Ведение реестра малых закупок</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eastAsia="Times New Roman" w:cs="Times New Roman" w:ascii="Tinos" w:hAnsi="Tinos"/>
                <w:color w:val="000000"/>
                <w:kern w:val="0"/>
                <w:sz w:val="24"/>
                <w:szCs w:val="24"/>
                <w:shd w:fill="FFFFFF" w:val="clear"/>
                <w:lang w:val="ru-RU" w:eastAsia="ru-RU" w:bidi="ar-SA"/>
              </w:rPr>
              <w:t>Ежедневно 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highlight w:val="white"/>
              </w:rPr>
            </w:pPr>
            <w:r>
              <w:rPr>
                <w:rFonts w:ascii="Tinos" w:hAnsi="Tinos"/>
                <w:highlight w:val="white"/>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Предоставление НДФЛ в ИФНС России по г. Брянску;</w:t>
            </w:r>
          </w:p>
          <w:p>
            <w:pPr>
              <w:pStyle w:val="Normal"/>
              <w:widowControl w:val="false"/>
              <w:rPr>
                <w:rFonts w:ascii="Tinos" w:hAnsi="Tinos"/>
              </w:rPr>
            </w:pPr>
            <w:r>
              <w:rPr>
                <w:rFonts w:ascii="Tinos" w:hAnsi="Tinos"/>
              </w:rPr>
            </w:r>
          </w:p>
          <w:p>
            <w:pPr>
              <w:pStyle w:val="Normal"/>
              <w:widowControl w:val="false"/>
              <w:rPr>
                <w:rFonts w:ascii="Calibri" w:hAnsi="Calibri"/>
              </w:rPr>
            </w:pPr>
            <w:r>
              <w:rPr>
                <w:rFonts w:ascii="Tinos" w:hAnsi="Tinos"/>
              </w:rPr>
              <w:t>Отчет 6-НДФЛ расчет сумм налога на доходы физических лиц, исчисленных и удержанных налоговым агентом.</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Годовой,  не позднее 1 апреля</w:t>
            </w:r>
          </w:p>
          <w:p>
            <w:pPr>
              <w:pStyle w:val="Normal"/>
              <w:widowControl w:val="false"/>
              <w:rPr/>
            </w:pPr>
            <w:r>
              <w:rPr>
                <w:rFonts w:ascii="Tinos" w:hAnsi="Tinos"/>
              </w:rPr>
              <w:t>Ежеквартально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Предоставление налоговой декларации НДС в ИФНС России </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До 20 числа месяца, следующего за отчетным</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Предоставление статистической отчетности:</w:t>
            </w:r>
          </w:p>
          <w:p>
            <w:pPr>
              <w:pStyle w:val="Normal"/>
              <w:widowControl w:val="false"/>
              <w:rPr>
                <w:rFonts w:ascii="Calibri" w:hAnsi="Calibri"/>
              </w:rPr>
            </w:pPr>
            <w:r>
              <w:rPr>
                <w:rFonts w:ascii="Tinos" w:hAnsi="Tinos"/>
              </w:rPr>
              <w:t>-форма ЗП-соц. Сведения о численности и оплате труда работников сферы социального обслуживания;</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Квартальная,</w:t>
            </w:r>
          </w:p>
          <w:p>
            <w:pPr>
              <w:pStyle w:val="Normal"/>
              <w:widowControl w:val="false"/>
              <w:rPr/>
            </w:pPr>
            <w:r>
              <w:rPr>
                <w:rFonts w:ascii="Tinos" w:hAnsi="Tinos"/>
              </w:rPr>
              <w:t>на 10 день после отчетного периода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rPr/>
            </w:pPr>
            <w:r>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w:t>
            </w:r>
            <w:r>
              <w:rPr>
                <w:lang w:val="ru-RU" w:eastAsia="ru-RU" w:bidi="ar-SA"/>
              </w:rPr>
              <w:t>Составление технического задания на осуществление закупок, размещение заказа , рассмотрение заявок</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ru-RU" w:eastAsia="ru-RU" w:bidi="ar-SA"/>
              </w:rPr>
              <w:t>Ежедневно, 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Салькова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-форма №11 (краткая). Сведения о наличии и движении основных фондов(средств) некоммерческих организаций;</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Годовая,</w:t>
            </w:r>
          </w:p>
          <w:p>
            <w:pPr>
              <w:pStyle w:val="Normal"/>
              <w:widowControl w:val="false"/>
              <w:rPr/>
            </w:pPr>
            <w:r>
              <w:rPr>
                <w:rFonts w:ascii="Tinos" w:hAnsi="Tinos"/>
              </w:rPr>
              <w:t xml:space="preserve">до 01 апреля </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Ведение работы по осуществлению воинского учета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отдельному плану</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прочая статистическая отчетность.</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Годовая,</w:t>
            </w:r>
          </w:p>
          <w:p>
            <w:pPr>
              <w:pStyle w:val="Normal"/>
              <w:widowControl w:val="false"/>
              <w:rPr/>
            </w:pPr>
            <w:r>
              <w:rPr>
                <w:rFonts w:ascii="Tinos" w:hAnsi="Tinos"/>
              </w:rPr>
              <w:t xml:space="preserve">до 19 января </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Салькова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Размещение информации об отделе на сайте  </w:t>
            </w:r>
            <w:r>
              <w:rPr>
                <w:rFonts w:ascii="Tinos" w:hAnsi="Tinos"/>
                <w:lang w:val="en-US"/>
              </w:rPr>
              <w:t>www</w:t>
            </w:r>
            <w:r>
              <w:rPr>
                <w:rFonts w:ascii="Tinos" w:hAnsi="Tinos"/>
              </w:rPr>
              <w:t>.</w:t>
            </w:r>
            <w:r>
              <w:rPr>
                <w:rFonts w:ascii="Tinos" w:hAnsi="Tinos"/>
                <w:lang w:val="en-US"/>
              </w:rPr>
              <w:t>bus</w:t>
            </w:r>
            <w:r>
              <w:rPr>
                <w:rFonts w:ascii="Tinos" w:hAnsi="Tinos"/>
              </w:rPr>
              <w:t>.</w:t>
            </w:r>
            <w:r>
              <w:rPr>
                <w:rFonts w:ascii="Tinos" w:hAnsi="Tinos"/>
                <w:lang w:val="en-US"/>
              </w:rPr>
              <w:t>gov</w:t>
            </w:r>
            <w:r>
              <w:rPr>
                <w:rFonts w:ascii="Tinos" w:hAnsi="Tinos"/>
              </w:rPr>
              <w:t>.</w:t>
            </w:r>
            <w:r>
              <w:rPr>
                <w:rFonts w:ascii="Tinos" w:hAnsi="Tinos"/>
                <w:lang w:val="en-US"/>
              </w:rPr>
              <w:t>ru</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необходим., в течение года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Организация и ведение бухгалтерского учета: составление журналов операций, начисление заработной платы, страховых взносов в государственные внебюджетные фонды, отчет по использованию ГСМ, работа в программном комплексе «Смарт-Бюджет»; работа  в системе "Астрал- отчет"</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течение года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Составление бюджетной сметы на 2022год,</w:t>
            </w:r>
          </w:p>
          <w:p>
            <w:pPr>
              <w:pStyle w:val="Normal"/>
              <w:widowControl w:val="false"/>
              <w:rPr>
                <w:rFonts w:ascii="Tinos" w:hAnsi="Tinos"/>
              </w:rPr>
            </w:pPr>
            <w:r>
              <w:rPr>
                <w:rFonts w:ascii="Tinos" w:hAnsi="Tinos"/>
              </w:rPr>
            </w:r>
          </w:p>
          <w:p>
            <w:pPr>
              <w:pStyle w:val="Normal"/>
              <w:widowControl w:val="false"/>
              <w:rPr>
                <w:rFonts w:ascii="Calibri" w:hAnsi="Calibri"/>
              </w:rPr>
            </w:pPr>
            <w:r>
              <w:rPr>
                <w:rFonts w:ascii="Tinos" w:hAnsi="Tinos"/>
              </w:rPr>
              <w:t>Внесение изменений к бюджетной смет</w:t>
            </w:r>
            <w:r>
              <w:rPr>
                <w:rFonts w:ascii="Calibri" w:hAnsi="Calibri"/>
              </w:rPr>
              <w:t>е</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До 1 февраля 2022г.</w:t>
            </w:r>
          </w:p>
          <w:p>
            <w:pPr>
              <w:pStyle w:val="Normal"/>
              <w:widowControl w:val="false"/>
              <w:rPr/>
            </w:pPr>
            <w:r>
              <w:rPr>
                <w:rFonts w:ascii="Tinos" w:hAnsi="Tinos"/>
              </w:rPr>
              <w:t>По мере необходимости</w:t>
            </w:r>
          </w:p>
          <w:p>
            <w:pPr>
              <w:pStyle w:val="Normal"/>
              <w:widowControl w:val="false"/>
              <w:rPr/>
            </w:pPr>
            <w:r>
              <w:rPr>
                <w:rFonts w:ascii="Tinos" w:hAnsi="Tinos"/>
              </w:rPr>
              <w:t>в течении года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highlight w:val="yellow"/>
              </w:rPr>
            </w:pPr>
            <w:r>
              <w:rPr>
                <w:rFonts w:ascii="Tinos" w:hAnsi="Tinos"/>
                <w:highlight w:val="yellow"/>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lang w:val="ru-RU" w:eastAsia="ru-RU" w:bidi="ar-SA"/>
              </w:rPr>
            </w:pPr>
            <w:r>
              <w:rPr>
                <w:lang w:val="ru-RU" w:eastAsia="ru-RU" w:bidi="ar-SA"/>
              </w:rPr>
              <w:t>Ведение реестра контрактов</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ru-RU" w:eastAsia="ru-RU" w:bidi="ar-SA"/>
              </w:rPr>
              <w:t>Ежедневно 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nos" w:hAnsi="Tinos"/>
                <w:highlight w:val="yellow"/>
              </w:rPr>
            </w:pPr>
            <w:r>
              <w:rPr>
                <w:rFonts w:ascii="Tinos" w:hAnsi="Tinos"/>
                <w:highlight w:val="yellow"/>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Перераспределение кассового плана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До 1 числа каждого месяц</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Сопровождения программы «Хранилище КС»</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течении год</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Размещение информации в программе «Хранилище КС»</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течении год</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Работа в программном комплексе «Смарт-Бюджет»</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В течении год</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Составление и сдача отчетности в отдел экономики и финансов департамента семьи, социальной и демографической политики Брянской области:</w:t>
            </w:r>
          </w:p>
          <w:p>
            <w:pPr>
              <w:pStyle w:val="Normal"/>
              <w:widowControl w:val="false"/>
              <w:rPr>
                <w:rFonts w:ascii="Calibri" w:hAnsi="Calibri"/>
              </w:rPr>
            </w:pPr>
            <w:r>
              <w:rPr>
                <w:rFonts w:ascii="Tinos" w:hAnsi="Tinos"/>
              </w:rPr>
              <w:t>- отчет о дебиторской и кредиторской задолженности;</w:t>
            </w:r>
          </w:p>
          <w:p>
            <w:pPr>
              <w:pStyle w:val="Normal"/>
              <w:widowControl w:val="false"/>
              <w:rPr>
                <w:rFonts w:ascii="Calibri" w:hAnsi="Calibri"/>
              </w:rPr>
            </w:pPr>
            <w:r>
              <w:rPr>
                <w:rFonts w:ascii="Tinos" w:hAnsi="Tinos"/>
              </w:rPr>
              <w:t>- отчет об оплате за топливно-энергетические ресурсы;</w:t>
            </w:r>
          </w:p>
          <w:p>
            <w:pPr>
              <w:pStyle w:val="Normal"/>
              <w:widowControl w:val="false"/>
              <w:rPr>
                <w:rFonts w:ascii="Calibri" w:hAnsi="Calibri"/>
              </w:rPr>
            </w:pPr>
            <w:r>
              <w:rPr>
                <w:rFonts w:ascii="Tinos" w:hAnsi="Tinos"/>
              </w:rPr>
              <w:t>- отчет о численности государственных гражданских служащих и работников государственных учреждений;</w:t>
            </w:r>
          </w:p>
          <w:p>
            <w:pPr>
              <w:pStyle w:val="Normal"/>
              <w:widowControl w:val="false"/>
              <w:rPr>
                <w:rFonts w:ascii="Calibri" w:hAnsi="Calibri"/>
              </w:rPr>
            </w:pPr>
            <w:r>
              <w:rPr>
                <w:rFonts w:ascii="Tinos" w:hAnsi="Tinos"/>
              </w:rPr>
              <w:t>- отчет о повышении заработной платы работников организаций, финансируемых из областного бюджета;</w:t>
            </w:r>
          </w:p>
          <w:p>
            <w:pPr>
              <w:pStyle w:val="Normal"/>
              <w:widowControl w:val="false"/>
              <w:rPr>
                <w:rFonts w:ascii="Calibri" w:hAnsi="Calibri"/>
              </w:rPr>
            </w:pPr>
            <w:r>
              <w:rPr>
                <w:rFonts w:ascii="Tinos" w:hAnsi="Tinos"/>
              </w:rPr>
              <w:t>- отчет соотношении средней  заработной</w:t>
            </w:r>
          </w:p>
          <w:p>
            <w:pPr>
              <w:pStyle w:val="Normal"/>
              <w:widowControl w:val="false"/>
              <w:rPr>
                <w:rFonts w:ascii="Calibri" w:hAnsi="Calibri"/>
              </w:rPr>
            </w:pPr>
            <w:r>
              <w:rPr>
                <w:rFonts w:ascii="Tinos" w:hAnsi="Tinos"/>
              </w:rPr>
              <w:t>платы</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Ежеквартально до 5-8 числа</w:t>
            </w:r>
          </w:p>
          <w:p>
            <w:pPr>
              <w:pStyle w:val="Normal"/>
              <w:widowControl w:val="false"/>
              <w:rPr>
                <w:rFonts w:ascii="Tinos" w:hAnsi="Tinos"/>
              </w:rPr>
            </w:pPr>
            <w:r>
              <w:rPr>
                <w:rFonts w:ascii="Tinos" w:hAnsi="Tinos"/>
              </w:rPr>
            </w:r>
          </w:p>
          <w:p>
            <w:pPr>
              <w:pStyle w:val="Normal"/>
              <w:widowControl w:val="false"/>
              <w:rPr>
                <w:rFonts w:ascii="Tinos" w:hAnsi="Tinos"/>
              </w:rPr>
            </w:pPr>
            <w:r>
              <w:rPr>
                <w:rFonts w:ascii="Tinos" w:hAnsi="Tinos"/>
              </w:rPr>
            </w:r>
          </w:p>
          <w:p>
            <w:pPr>
              <w:pStyle w:val="Normal"/>
              <w:widowControl w:val="false"/>
              <w:rPr/>
            </w:pPr>
            <w:r>
              <w:rPr>
                <w:rFonts w:ascii="Tinos" w:hAnsi="Tinos"/>
              </w:rPr>
              <w:t>Ежемесячно</w:t>
            </w:r>
          </w:p>
          <w:p>
            <w:pPr>
              <w:pStyle w:val="Normal"/>
              <w:widowControl w:val="false"/>
              <w:rPr>
                <w:rFonts w:ascii="Tinos" w:hAnsi="Tinos"/>
              </w:rPr>
            </w:pPr>
            <w:r>
              <w:rPr>
                <w:rFonts w:ascii="Tinos" w:hAnsi="Tinos"/>
              </w:rPr>
            </w:r>
          </w:p>
          <w:p>
            <w:pPr>
              <w:pStyle w:val="Normal"/>
              <w:widowControl w:val="false"/>
              <w:rPr/>
            </w:pPr>
            <w:r>
              <w:rPr>
                <w:rFonts w:ascii="Tinos" w:hAnsi="Tinos"/>
              </w:rPr>
              <w:t>Ежеквартально</w:t>
            </w:r>
          </w:p>
          <w:p>
            <w:pPr>
              <w:pStyle w:val="Normal"/>
              <w:widowControl w:val="false"/>
              <w:rPr>
                <w:rFonts w:ascii="Tinos" w:hAnsi="Tinos"/>
              </w:rPr>
            </w:pPr>
            <w:r>
              <w:rPr>
                <w:rFonts w:ascii="Tinos" w:hAnsi="Tinos"/>
              </w:rPr>
            </w:r>
          </w:p>
          <w:p>
            <w:pPr>
              <w:pStyle w:val="Normal"/>
              <w:widowControl w:val="false"/>
              <w:rPr/>
            </w:pPr>
            <w:r>
              <w:rPr>
                <w:rFonts w:ascii="Tinos" w:hAnsi="Tinos"/>
              </w:rPr>
              <w:t>Ежеквартально</w:t>
            </w:r>
          </w:p>
          <w:p>
            <w:pPr>
              <w:pStyle w:val="Normal"/>
              <w:widowControl w:val="false"/>
              <w:rPr>
                <w:rFonts w:ascii="Calibri" w:hAnsi="Calibri"/>
              </w:rPr>
            </w:pPr>
            <w:r>
              <w:rPr>
                <w:rFonts w:ascii="Calibri" w:hAnsi="Calibri"/>
              </w:rPr>
            </w:r>
          </w:p>
          <w:p>
            <w:pPr>
              <w:pStyle w:val="Normal"/>
              <w:widowControl w:val="false"/>
              <w:rPr/>
            </w:pPr>
            <w:r>
              <w:rPr>
                <w:rFonts w:ascii="Tinos" w:hAnsi="Tinos"/>
              </w:rPr>
              <w:t>Ежеквартально</w:t>
            </w:r>
          </w:p>
          <w:p>
            <w:pPr>
              <w:pStyle w:val="Normal"/>
              <w:widowControl w:val="false"/>
              <w:rPr>
                <w:rFonts w:ascii="Calibri" w:hAnsi="Calibri"/>
              </w:rPr>
            </w:pPr>
            <w:r>
              <w:rPr>
                <w:rFonts w:ascii="Calibri" w:hAnsi="Calibri"/>
              </w:rPr>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2"/>
              </w:numPr>
              <w:tabs>
                <w:tab w:val="clear" w:pos="708"/>
                <w:tab w:val="left" w:pos="1800" w:leader="none"/>
              </w:tabs>
              <w:ind w:left="226" w:hanging="113"/>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Отчет по бюджетному движению денежных</w:t>
            </w:r>
          </w:p>
          <w:p>
            <w:pPr>
              <w:pStyle w:val="Normal"/>
              <w:widowControl w:val="false"/>
              <w:rPr>
                <w:rFonts w:ascii="Calibri" w:hAnsi="Calibri"/>
              </w:rPr>
            </w:pPr>
            <w:r>
              <w:rPr>
                <w:rFonts w:ascii="Tinos" w:hAnsi="Tinos"/>
              </w:rPr>
              <w:t>средств</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 до 1-3 числа месяца следующего за отчетным</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Салькова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344" w:hRule="atLeast"/>
        </w:trPr>
        <w:tc>
          <w:tcPr>
            <w:tcW w:w="150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lang w:val="en-US"/>
              </w:rPr>
              <w:t>III</w:t>
            </w:r>
            <w:r>
              <w:rPr>
                <w:rFonts w:ascii="Calibri" w:hAnsi="Calibri"/>
                <w:b/>
              </w:rPr>
              <w:t>. Отдел детских пособий</w:t>
            </w:r>
          </w:p>
        </w:tc>
      </w:tr>
      <w:tr>
        <w:trPr>
          <w:trHeight w:val="315" w:hRule="atLeast"/>
        </w:trPr>
        <w:tc>
          <w:tcPr>
            <w:tcW w:w="150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пособия по уходу за ребенком лицам, фактически осуществляющим уход за ребенком, не подлежащим социальному страхованию , подготовка документов  на выплату ежемесячного пособия по уходу за ребенком</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Улезько Г.И.</w:t>
            </w:r>
          </w:p>
          <w:p>
            <w:pPr>
              <w:pStyle w:val="Normal"/>
              <w:rPr>
                <w:rFonts w:ascii="Calibri" w:hAnsi="Calibri"/>
              </w:rPr>
            </w:pPr>
            <w:r>
              <w:rPr>
                <w:rFonts w:ascii="Calibri" w:hAnsi="Calibri"/>
              </w:rPr>
              <w:t>Конопако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дополнительного единовременного пособия при рождении ребенка, подготовка списков на выплату дополнительного единовременного пособия при рождении ребенка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ЕДВ при рождении 3 или последующего ребенка, подготовка списков на выплату ЕДВ при рождении 3 или последующего ребенка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Изменение состава семьи при достижении одним из детей 18-ти летнего возраста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Ежемесячно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112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numPr>
                <w:ilvl w:val="0"/>
                <w:numId w:val="4"/>
              </w:numPr>
              <w:suppressAutoHyphens w:val="true"/>
              <w:bidi w:val="0"/>
              <w:spacing w:before="0" w:after="0"/>
              <w:ind w:left="680" w:right="227" w:hanging="113"/>
              <w:jc w:val="left"/>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единовременного пособия при рождении, подготовка списков на выплату единовременного пособия при рождении ребенка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оформление и распоряжение областным материнским капиталом</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496"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ежемесячной компенсации на питание специальными молочными продуктами детей 1, 2 и 3 года жизни ,подготовка документов на выплату ежемесячной компенсации на питание специальными молочными продуктами детей 1, 2 и 3 года жизни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подготовка документов на назначение и выплату единовременного и ежемесячного пособия беременной жене военнослужащего, проходящего военную службу по призыву</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По мере поступления</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назначение и выплата дополнительного ежемесячного пособия по уходу за ребенком-инвалидом</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По мере поступления</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По мере поступления</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единовременного пособия к началу учебного года школьникам из многодетной малообеспеченной семьи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Июнь-сентябрь</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Прием документов на назначение и выплату единовременного пособия  многодетной  семье при рождении ребенка</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По мере поступления</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Закрытие счетов при достижении ребенком 18–ти лет, по спискам умерших, предоставленных ЗАГСом</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Ежемесячно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Специалист</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Печать и выдача справок гражданам о мерах социальной поддержки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специалист</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rPr>
                <w:rFonts w:ascii="Calibri" w:hAnsi="Calibri"/>
              </w:rPr>
            </w:pPr>
            <w:r>
              <w:rPr>
                <w:rFonts w:ascii="Calibri" w:hAnsi="Calibri"/>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Внесение изменений в персональную карточку учета получателей</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rPr>
            </w:pPr>
            <w:r>
              <w:rPr>
                <w:rFonts w:ascii="Calibri" w:hAnsi="Calibri"/>
              </w:rPr>
              <w:t>Улезько Г.И. специалисты</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Прием документов на назначение пособий семьям с детьми  согласно положения об отделе ,подготовка документов на выплату пособия на ребенка гражданам, имеющим детей</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t>Улезько Г.И.</w:t>
            </w:r>
          </w:p>
          <w:p>
            <w:pPr>
              <w:pStyle w:val="Normal"/>
              <w:widowControl w:val="false"/>
              <w:rPr>
                <w:rFonts w:ascii="Calibri" w:hAnsi="Calibri"/>
              </w:rPr>
            </w:pPr>
            <w:r>
              <w:rPr>
                <w:rFonts w:ascii="Calibri" w:hAnsi="Calibri"/>
              </w:rPr>
              <w:t>Конопако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Прием документов на оформление и распоряжение областным материнским капиталом</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Закрытие личных дел при достижении ребенком 18–ти лет, по сведениям об умерших и убывших гражданах, по запросам личных дел</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t>Подготовка и выдача справок гражданам о мерах социальной поддержки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Внесение изменений в персональную карточку учета получателей</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Организация и контроль работы в отделе</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Ежедневно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Улезько Г.И. </w:t>
            </w:r>
          </w:p>
          <w:p>
            <w:pPr>
              <w:pStyle w:val="Normal"/>
              <w:widowControl w:val="false"/>
              <w:rPr>
                <w:rFonts w:ascii="Calibri" w:hAnsi="Calibri"/>
              </w:rPr>
            </w:pPr>
            <w:r>
              <w:rPr>
                <w:rFonts w:ascii="Tinos" w:hAnsi="Tinos"/>
              </w:rPr>
              <w:t>ведущий специалист</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sz w:val="24"/>
                <w:szCs w:val="24"/>
              </w:rPr>
              <w:t>Проведение технической учебы</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1раз в месяц</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 xml:space="preserve">Улезько Г.И. </w:t>
            </w:r>
          </w:p>
          <w:p>
            <w:pPr>
              <w:pStyle w:val="Normal"/>
              <w:widowControl w:val="false"/>
              <w:rPr>
                <w:rFonts w:ascii="Calibri" w:hAnsi="Calibri"/>
              </w:rPr>
            </w:pPr>
            <w:r>
              <w:rPr>
                <w:rFonts w:ascii="Tinos" w:hAnsi="Tinos"/>
              </w:rPr>
              <w:t>ведущий спец</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sz w:val="24"/>
                <w:szCs w:val="24"/>
              </w:rPr>
              <w:t>Проведение инвентаризации личных дел</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Согласно плану проведения инвентаризации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rPr>
              <w:t>Улезько Г.И.</w:t>
            </w:r>
          </w:p>
          <w:p>
            <w:pPr>
              <w:pStyle w:val="Normal"/>
              <w:widowControl w:val="false"/>
              <w:rPr>
                <w:rFonts w:ascii="Calibri" w:hAnsi="Calibri"/>
              </w:rPr>
            </w:pPr>
            <w:r>
              <w:rPr>
                <w:rFonts w:ascii="Tinos" w:hAnsi="Tinos"/>
              </w:rPr>
              <w:t>Конопако Т.В.</w:t>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sz w:val="24"/>
                <w:szCs w:val="24"/>
              </w:rPr>
              <w:t>Проведение индексации компенсационных выплат, отработка неоплаты и возвратов денежных средств  от  почтовых отделений  и банков, отработка книги возвратов</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 xml:space="preserve">   </w:t>
            </w:r>
            <w:r>
              <w:rPr>
                <w:rFonts w:ascii="Tinos" w:hAnsi="Tinos"/>
              </w:rPr>
              <w:t>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Tinos" w:hAnsi="Tinos"/>
                <w:sz w:val="24"/>
                <w:szCs w:val="24"/>
              </w:rPr>
              <w:t>Подготовка отчетной документации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 до 5 числа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rPr>
            </w:pPr>
            <w:r>
              <w:rPr>
                <w:rFonts w:ascii="Calibri" w:hAnsi="Calibri"/>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sz w:val="24"/>
                <w:szCs w:val="24"/>
              </w:rPr>
            </w:pPr>
            <w:r>
              <w:rPr>
                <w:rFonts w:ascii="Tinos" w:hAnsi="Tinos"/>
                <w:sz w:val="24"/>
                <w:szCs w:val="24"/>
              </w:rPr>
              <w:t>Информирование населения об изменениях в законодательстве</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 xml:space="preserve">   </w:t>
            </w:r>
            <w:r>
              <w:rPr>
                <w:rFonts w:ascii="Tinos" w:hAnsi="Tinos"/>
              </w:rPr>
              <w:t>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sz w:val="24"/>
                <w:szCs w:val="24"/>
              </w:rPr>
            </w:pPr>
            <w:r>
              <w:rPr>
                <w:rFonts w:ascii="Tinos" w:hAnsi="Tinos"/>
                <w:sz w:val="24"/>
                <w:szCs w:val="24"/>
              </w:rPr>
              <w:t>Организация подготовки реестров и ведомостей для перечисления средств кредитные учреждения или почтовые отделения связи</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Ежемесячно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r>
        <w:trPr>
          <w:trHeight w:val="635" w:hRule="atLeast"/>
        </w:trPr>
        <w:tc>
          <w:tcPr>
            <w:tcW w:w="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3"/>
              </w:numPr>
              <w:rPr>
                <w:rFonts w:ascii="Tinos" w:hAnsi="Tinos"/>
              </w:rPr>
            </w:pPr>
            <w:r>
              <w:rPr>
                <w:rFonts w:ascii="Tinos" w:hAnsi="Tinos"/>
              </w:rPr>
            </w:r>
          </w:p>
        </w:tc>
        <w:tc>
          <w:tcPr>
            <w:tcW w:w="70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sz w:val="24"/>
                <w:szCs w:val="24"/>
              </w:rPr>
            </w:pPr>
            <w:r>
              <w:rPr>
                <w:rFonts w:ascii="Tinos" w:hAnsi="Tinos"/>
                <w:sz w:val="24"/>
                <w:szCs w:val="24"/>
              </w:rPr>
              <w:t>Проведение консультаций и разъяснений в пределах компетенции отдела, рассмотрение в установленном порядке обращений</w:t>
            </w:r>
          </w:p>
        </w:tc>
        <w:tc>
          <w:tcPr>
            <w:tcW w:w="284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ascii="Tinos" w:hAnsi="Tinos"/>
              </w:rPr>
              <w:t xml:space="preserve"> </w:t>
            </w:r>
            <w:r>
              <w:rPr>
                <w:rFonts w:ascii="Tinos" w:hAnsi="Tinos"/>
              </w:rPr>
              <w:t>По мере необходимости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nos" w:hAnsi="Tinos"/>
              </w:rPr>
            </w:pPr>
            <w:r>
              <w:rPr>
                <w:rFonts w:ascii="Tinos" w:hAnsi="Tinos"/>
              </w:rPr>
            </w:r>
          </w:p>
        </w:tc>
        <w:tc>
          <w:tcPr>
            <w:tcW w:w="18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Calibri" w:hAnsi="Calibri"/>
                <w:b/>
                <w:b/>
              </w:rPr>
            </w:pPr>
            <w:r>
              <w:rPr>
                <w:rFonts w:ascii="Calibri" w:hAnsi="Calibri"/>
                <w:b/>
              </w:rPr>
            </w:r>
          </w:p>
        </w:tc>
      </w:tr>
    </w:tbl>
    <w:p>
      <w:pPr>
        <w:pStyle w:val="Normal"/>
        <w:rPr/>
      </w:pPr>
      <w:r>
        <w:rPr>
          <w:rFonts w:ascii="Calibri" w:hAnsi="Calibri"/>
        </w:rPr>
        <w:t xml:space="preserve"> </w:t>
      </w:r>
    </w:p>
    <w:p>
      <w:pPr>
        <w:pStyle w:val="Normal"/>
        <w:rPr/>
      </w:pPr>
      <w:r>
        <w:rPr/>
      </w:r>
    </w:p>
    <w:tbl>
      <w:tblPr>
        <w:tblW w:w="15015" w:type="dxa"/>
        <w:jc w:val="center"/>
        <w:tblInd w:w="0" w:type="dxa"/>
        <w:tblCellMar>
          <w:top w:w="0" w:type="dxa"/>
          <w:left w:w="108" w:type="dxa"/>
          <w:bottom w:w="0" w:type="dxa"/>
          <w:right w:w="108" w:type="dxa"/>
        </w:tblCellMar>
        <w:tblLook w:val="0000"/>
      </w:tblPr>
      <w:tblGrid>
        <w:gridCol w:w="812"/>
        <w:gridCol w:w="6892"/>
        <w:gridCol w:w="2171"/>
        <w:gridCol w:w="3278"/>
        <w:gridCol w:w="1862"/>
      </w:tblGrid>
      <w:tr>
        <w:trPr>
          <w:trHeight w:val="315" w:hRule="atLeast"/>
        </w:trPr>
        <w:tc>
          <w:tcPr>
            <w:tcW w:w="15015" w:type="dxa"/>
            <w:gridSpan w:val="5"/>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b/>
                <w:b/>
              </w:rPr>
            </w:pPr>
            <w:r>
              <w:rPr>
                <w:rFonts w:ascii="Calibri" w:hAnsi="Calibri"/>
                <w:b/>
              </w:rPr>
              <w:t>V</w:t>
            </w:r>
            <w:r>
              <w:rPr>
                <w:rFonts w:ascii="Calibri" w:hAnsi="Calibri"/>
                <w:b/>
                <w:lang w:val="en-US"/>
              </w:rPr>
              <w:t>I</w:t>
            </w:r>
            <w:r>
              <w:rPr>
                <w:rFonts w:ascii="Calibri" w:hAnsi="Calibri"/>
                <w:b/>
              </w:rPr>
              <w:t>. Отдел жилищно-коммунальных субсидий и льгот</w:t>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Организация и контроль работы в отделе</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Сабецкая Н.С., Ширяева Н.Е. специалисты</w:t>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технической учебы</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1раз в месяц</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Подготовка  отчетной документации ежемесячной и квартальной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графику отчетов</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Вед.спец.</w:t>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документов для назначения  выплаты компенсаций страховых премий по ОСАГО  инвалидам, получившим транспортные средства через органы социальной защиты , формирование списков на зачисление на вклады компенсаций страховых премий по ОСАГО</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Якимович Н.В.</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Консультирование,прием и оформление документов на присвоение статуса «Ветеран труда Брянской области» , «Ветеран труда»</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Якимович Н.В.</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Предоставление данных о состоянии сегмента ОГБД «Ветераны» по  Советскому  району</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Ежеквартально</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Якимович Н.В.</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и выдача удостоверений «Ветеран труда», «Ветеран труда Брянской области»,регистрация заявлений на утерю  удостоверений</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Якимович Н.В.</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Регистрация и выдача удостоверений:</w:t>
            </w:r>
          </w:p>
          <w:p>
            <w:pPr>
              <w:pStyle w:val="Normal"/>
              <w:numPr>
                <w:ilvl w:val="0"/>
                <w:numId w:val="3"/>
              </w:numPr>
              <w:rPr>
                <w:rFonts w:ascii="Calibri" w:hAnsi="Calibri"/>
              </w:rPr>
            </w:pPr>
            <w:r>
              <w:rPr>
                <w:rFonts w:ascii="Calibri" w:hAnsi="Calibri"/>
              </w:rPr>
              <w:t>ветеран труда;</w:t>
            </w:r>
          </w:p>
          <w:p>
            <w:pPr>
              <w:pStyle w:val="Normal"/>
              <w:numPr>
                <w:ilvl w:val="0"/>
                <w:numId w:val="3"/>
              </w:numPr>
              <w:rPr>
                <w:rFonts w:ascii="Calibri" w:hAnsi="Calibri"/>
              </w:rPr>
            </w:pPr>
            <w:r>
              <w:rPr>
                <w:rFonts w:ascii="Calibri" w:hAnsi="Calibri"/>
              </w:rPr>
              <w:t>членам семей погибших (погибших) ИВОВ, УВОВ и ветеранов боевых дейс</w:t>
            </w:r>
            <w:r>
              <w:rPr>
                <w:rFonts w:ascii="Calibri" w:hAnsi="Calibri"/>
              </w:rPr>
              <w:t>твий</w:t>
            </w:r>
          </w:p>
          <w:p>
            <w:pPr>
              <w:pStyle w:val="Normal"/>
              <w:numPr>
                <w:ilvl w:val="0"/>
                <w:numId w:val="3"/>
              </w:numPr>
              <w:rPr>
                <w:rFonts w:ascii="Calibri" w:hAnsi="Calibri"/>
              </w:rPr>
            </w:pPr>
            <w:r>
              <w:rPr>
                <w:rFonts w:ascii="Calibri" w:hAnsi="Calibri"/>
              </w:rPr>
              <w:t>ветеранам ВОВ (ст. 20);</w:t>
            </w:r>
          </w:p>
          <w:p>
            <w:pPr>
              <w:pStyle w:val="Normal"/>
              <w:numPr>
                <w:ilvl w:val="0"/>
                <w:numId w:val="3"/>
              </w:numPr>
              <w:rPr>
                <w:rFonts w:ascii="Calibri" w:hAnsi="Calibri"/>
              </w:rPr>
            </w:pPr>
            <w:r>
              <w:rPr>
                <w:rFonts w:ascii="Calibri" w:hAnsi="Calibri"/>
              </w:rPr>
              <w:t>ветеранам ВОВ (ст. 19);</w:t>
            </w:r>
          </w:p>
          <w:p>
            <w:pPr>
              <w:pStyle w:val="Normal"/>
              <w:numPr>
                <w:ilvl w:val="0"/>
                <w:numId w:val="3"/>
              </w:numPr>
              <w:rPr>
                <w:rFonts w:ascii="Calibri" w:hAnsi="Calibri"/>
              </w:rPr>
            </w:pPr>
            <w:r>
              <w:rPr>
                <w:rFonts w:ascii="Calibri" w:hAnsi="Calibri"/>
              </w:rPr>
              <w:t>ветеранам ВОВ (ст. 14);</w:t>
            </w:r>
          </w:p>
          <w:p>
            <w:pPr>
              <w:pStyle w:val="Normal"/>
              <w:rPr>
                <w:rFonts w:ascii="Calibri" w:hAnsi="Calibri"/>
              </w:rPr>
            </w:pPr>
            <w:r>
              <w:rPr>
                <w:rFonts w:ascii="Calibri" w:hAnsi="Calibri"/>
              </w:rPr>
              <w:t xml:space="preserve">     </w:t>
            </w:r>
            <w:r>
              <w:rPr>
                <w:rFonts w:ascii="Calibri" w:hAnsi="Calibri"/>
              </w:rPr>
              <w:t>-    бывшим н/ летним узникам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Сабецкая Н.С., Ширяева Н.Е. специалисты</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заявлений граждан для назначения и выплаты ежемесячной денежной выплаты региональным льготникам (ветеранам труда, ветеранам труда Брянской области, труженикам тыла, лицам, пострадавшим от политических репрессий и реабилитированным) (далее ЕДВ региональным льготникам), ежемесячной денежной компенсации на оплату жилого помещения и коммунальных услуг (далее ЕДК по ЖКУ), ежемесячной денежной компенсации военнослужащим (инвалидам вследствие военной травмы) или членам семьи военнослужащего умершего (погибшего) при исполнении обязанностей военной службы, либо умерших вследствие военной травмы, (далее компенсация вследствие военной травмы), 60% компенсации членам семей погибших (умерших) военнослужащих по оплате ЖКУ и др. видов услуг (далее 60% компенсации), выделение средств на проведение ремонта индивидуального жилого дома вдовам военнослужащих (далее средства на ремонт дома), компенсации на бензин (далее компенсации на бензин), ежегодной денежной выплаты почетным донорам России (СССР) (далее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Сабецкая Н.С., Ширяева Н.Е. специалисты</w:t>
            </w:r>
          </w:p>
          <w:p>
            <w:pPr>
              <w:pStyle w:val="Normal"/>
              <w:rPr>
                <w:rFonts w:ascii="Calibri" w:hAnsi="Calibri"/>
              </w:rPr>
            </w:pPr>
            <w:r>
              <w:rPr>
                <w:rFonts w:ascii="Calibri" w:hAnsi="Calibri"/>
              </w:rPr>
              <w:t>Якимович Н.В.</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Консультирование граждан по вопросам назначения и выплаты ЕДВ региональным льготникам, ЕДК по ЖКУ, компенсации вследствие военной травмы,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Ширяева Н.Е.</w:t>
            </w:r>
          </w:p>
          <w:p>
            <w:pPr>
              <w:pStyle w:val="Normal"/>
              <w:rPr>
                <w:rFonts w:ascii="Calibri" w:hAnsi="Calibri"/>
              </w:rPr>
            </w:pPr>
            <w:r>
              <w:rPr>
                <w:rFonts w:ascii="Calibri" w:hAnsi="Calibri"/>
              </w:rPr>
              <w:t>специалисты</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Определение полноты и достоверности, представленных гражданами документов и установление права заявителя и совместно с ним проживающих членов его семьи для назначения ЕДВ региональным льготникам, ЕДК по ЖКУ,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Ширяева Н.Е.</w:t>
            </w:r>
          </w:p>
          <w:p>
            <w:pPr>
              <w:pStyle w:val="Normal"/>
              <w:rPr>
                <w:rFonts w:ascii="Calibri" w:hAnsi="Calibri"/>
              </w:rPr>
            </w:pPr>
            <w:r>
              <w:rPr>
                <w:rFonts w:ascii="Calibri" w:hAnsi="Calibri"/>
              </w:rPr>
              <w:t xml:space="preserve">специалисты </w:t>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получателей ЕДВ региональным льготникам, ЕДК по ЖКУ, компенсация вследствие военной травмы, ,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112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Проверка сформированных и рассчитанных дел ЕДВ региональным льготникам, ЕДК по ЖКУ, компенсация вследствие военной травмы,, ЕДВ почетным донорам</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Еженедельно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специалисты</w:t>
            </w:r>
          </w:p>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112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Отработка неоплаты и возвратов денежных средств  от  почтовых отделений  и банков, отработка книги возвратов</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специалисты</w:t>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112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Перерасчет размера выплат при изменении тарифов, нормативов, норм, состава семьи и др. изменений, влияющих на размер выплат</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Сабецкая Н.С.</w:t>
            </w:r>
          </w:p>
          <w:p>
            <w:pPr>
              <w:pStyle w:val="Normal"/>
              <w:rPr>
                <w:rFonts w:ascii="Calibri" w:hAnsi="Calibri"/>
              </w:rPr>
            </w:pPr>
            <w:r>
              <w:rPr>
                <w:rFonts w:ascii="Calibri" w:hAnsi="Calibri"/>
              </w:rPr>
              <w:t>Боровая Ю.В.</w:t>
            </w:r>
          </w:p>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Печать и выдача справок гражданам о мерах социальной поддержки</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специалисты</w:t>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496"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Проведение инвентаризации личных дел по ЕДК</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плану проведения инвентаризации</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Внесение изменений  в персональную карточку учета получателей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необходимости</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оформление документов на обеспечение инвалидов техническими средствами реабилитации по Региональному перечню</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Якимович Н.В.</w:t>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Прием и консультация граждан по вопросам реабилитации инвалидов, в рамках областного гарантированного перечня</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базы данных инвалидов, нуждающихся в средствах реабилитации  по областному  перечню ТСР</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p>
            <w:pPr>
              <w:pStyle w:val="Normal"/>
              <w:rPr>
                <w:rFonts w:ascii="Calibri" w:hAnsi="Calibri"/>
              </w:rPr>
            </w:pPr>
            <w:r>
              <w:rPr>
                <w:rFonts w:ascii="Calibri" w:hAnsi="Calibri"/>
              </w:rPr>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Прием заявлений граждан на предоставление субсидий с приложением необходимых документов согласно Постановлению Правительства РФ от 14.12.2005г. № 761 </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Сабецкая Н.С., специалист</w:t>
            </w:r>
          </w:p>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Консультирование граждан по вопросу предоставления субсидий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Определение полноты и достоверности, представленных гражданами документов и установление права заявителя и совместно с ним проживающих членов его семьи для назначения субсидии</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Определение совокупного дохода семьи согласно Постановлению Правительства РФ № 512 от 20.08.2003г. </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Постоянно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Формирование личных дел получателей субсидий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При принятии заявлений</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 xml:space="preserve">Расчет размера субсидий с учетом региональных стандартов стоимости ЖКУ Постановление Правительства Брянской области № 354-п от 04.08.2014г. </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 течении 10 дней после принятия заявления</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ind w:left="-108" w:hanging="0"/>
              <w:rPr>
                <w:rFonts w:ascii="Calibri" w:hAnsi="Calibri"/>
              </w:rPr>
            </w:pPr>
            <w:r>
              <w:rPr>
                <w:rFonts w:ascii="Calibri" w:hAnsi="Calibri"/>
              </w:rPr>
              <w:t>Формирование базы данных получателей в АС АСП</w:t>
            </w:r>
          </w:p>
        </w:tc>
        <w:tc>
          <w:tcPr>
            <w:tcW w:w="21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Ежедневно</w:t>
            </w:r>
          </w:p>
        </w:tc>
        <w:tc>
          <w:tcPr>
            <w:tcW w:w="327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Контроль  задолжников по  ЖКУ из числа получателей субсидий</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Ежемесячно</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Перечисление субсидий на банковские счета граждан или через Почту России в установленные сроки</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До 28 числа каждого месяца</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Выезд мобильной группы с целью доведения  населению информации  об условиях получения субсидии на оплату ЖКУ.</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Согласно графику</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r>
        <w:trPr>
          <w:trHeight w:val="635" w:hRule="atLeast"/>
        </w:trPr>
        <w:tc>
          <w:tcPr>
            <w:tcW w:w="812" w:type="dxa"/>
            <w:tcBorders>
              <w:top w:val="single" w:sz="4" w:space="0" w:color="000000"/>
              <w:left w:val="single" w:sz="4" w:space="0" w:color="000000"/>
              <w:bottom w:val="single" w:sz="4" w:space="0" w:color="000000"/>
              <w:right w:val="single" w:sz="4" w:space="0" w:color="000000"/>
            </w:tcBorders>
          </w:tcPr>
          <w:p>
            <w:pPr>
              <w:pStyle w:val="Normal"/>
              <w:numPr>
                <w:ilvl w:val="0"/>
                <w:numId w:val="5"/>
              </w:numPr>
              <w:jc w:val="center"/>
              <w:rPr>
                <w:rFonts w:ascii="Calibri" w:hAnsi="Calibri"/>
              </w:rPr>
            </w:pPr>
            <w:r>
              <w:rPr>
                <w:rFonts w:ascii="Calibri" w:hAnsi="Calibri"/>
              </w:rPr>
            </w:r>
          </w:p>
        </w:tc>
        <w:tc>
          <w:tcPr>
            <w:tcW w:w="68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Перерасчет размера субсидий при изменении региональных и местных стандартов, изменении стоимости ЖКУ, величины прожиточного минимума и условий предоставления субсидии</w:t>
            </w:r>
          </w:p>
        </w:tc>
        <w:tc>
          <w:tcPr>
            <w:tcW w:w="2171"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t>По мере  поступления постановлений, законодательных актов</w:t>
            </w:r>
          </w:p>
        </w:tc>
        <w:tc>
          <w:tcPr>
            <w:tcW w:w="3278"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c>
          <w:tcPr>
            <w:tcW w:w="1862" w:type="dxa"/>
            <w:tcBorders>
              <w:left w:val="single" w:sz="4" w:space="0" w:color="000000"/>
              <w:bottom w:val="single" w:sz="4" w:space="0" w:color="000000"/>
              <w:right w:val="single" w:sz="4" w:space="0" w:color="000000"/>
            </w:tcBorders>
          </w:tcPr>
          <w:p>
            <w:pPr>
              <w:pStyle w:val="Normal"/>
              <w:rPr>
                <w:rFonts w:ascii="Calibri" w:hAnsi="Calibri"/>
              </w:rPr>
            </w:pPr>
            <w:r>
              <w:rPr>
                <w:rFonts w:ascii="Calibri" w:hAnsi="Calibri"/>
              </w:rPr>
            </w:r>
          </w:p>
        </w:tc>
      </w:tr>
    </w:tbl>
    <w:p>
      <w:pPr>
        <w:pStyle w:val="Normal"/>
        <w:rPr/>
      </w:pPr>
      <w:r>
        <w:rPr/>
      </w:r>
    </w:p>
    <w:sectPr>
      <w:type w:val="nextPage"/>
      <w:pgSz w:orient="landscape" w:w="16838" w:h="11906"/>
      <w:pgMar w:left="1701" w:right="677" w:header="0" w:top="719" w:footer="0" w:bottom="5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PT Sans">
    <w:charset w:val="01"/>
    <w:family w:val="swiss"/>
    <w:pitch w:val="default"/>
  </w:font>
  <w:font w:name="Tahoma">
    <w:charset w:val="01"/>
    <w:family w:val="swiss"/>
    <w:pitch w:val="default"/>
  </w:font>
  <w:font w:name="Verdana">
    <w:charset w:val="01"/>
    <w:family w:val="swiss"/>
    <w:pitch w:val="default"/>
  </w:font>
  <w:font w:name="Calibri">
    <w:charset w:val="01"/>
    <w:family w:val="swiss"/>
    <w:pitch w:val="default"/>
  </w:font>
  <w:font w:name="Tino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1."/>
      <w:lvlJc w:val="left"/>
      <w:pPr>
        <w:tabs>
          <w:tab w:val="num" w:pos="1440"/>
        </w:tabs>
        <w:ind w:left="113" w:hanging="11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2.%1."/>
      <w:lvlJc w:val="left"/>
      <w:pPr>
        <w:tabs>
          <w:tab w:val="num" w:pos="1440"/>
        </w:tabs>
        <w:ind w:left="113" w:hanging="11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3.%1."/>
      <w:lvlJc w:val="left"/>
      <w:pPr>
        <w:tabs>
          <w:tab w:val="num" w:pos="1440"/>
        </w:tabs>
        <w:ind w:left="113" w:hanging="11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4.%1."/>
      <w:lvlJc w:val="left"/>
      <w:pPr>
        <w:tabs>
          <w:tab w:val="num" w:pos="2007"/>
        </w:tabs>
        <w:ind w:left="680" w:hanging="11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decimal"/>
      <w:lvlText w:val="6.%1."/>
      <w:lvlJc w:val="left"/>
      <w:pPr>
        <w:tabs>
          <w:tab w:val="num" w:pos="1440"/>
        </w:tabs>
        <w:ind w:left="113" w:hanging="11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27c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BalloonTextChar" w:customStyle="1">
    <w:name w:val="Balloon Text Char"/>
    <w:basedOn w:val="DefaultParagraphFont"/>
    <w:link w:val="BalloonText"/>
    <w:uiPriority w:val="99"/>
    <w:semiHidden/>
    <w:qFormat/>
    <w:locked/>
    <w:rPr>
      <w:rFonts w:cs="Times New Roman"/>
      <w:sz w:val="2"/>
    </w:rPr>
  </w:style>
  <w:style w:type="character" w:styleId="Style14">
    <w:name w:val="Интернет-ссылка"/>
    <w:basedOn w:val="DefaultParagraphFont"/>
    <w:uiPriority w:val="99"/>
    <w:rsid w:val="00c65fcf"/>
    <w:rPr>
      <w:rFonts w:cs="Times New Roman"/>
      <w:color w:val="0000FF"/>
      <w:u w:val="single"/>
    </w:rPr>
  </w:style>
  <w:style w:type="character" w:styleId="FootnoteTextChar" w:customStyle="1">
    <w:name w:val="Footnote Text Char"/>
    <w:basedOn w:val="DefaultParagraphFont"/>
    <w:link w:val="FootnoteText"/>
    <w:uiPriority w:val="99"/>
    <w:qFormat/>
    <w:locked/>
    <w:rsid w:val="00cd39be"/>
    <w:rPr>
      <w:rFonts w:cs="Times New Roman"/>
    </w:rPr>
  </w:style>
  <w:style w:type="character" w:styleId="Style15">
    <w:name w:val="Привязка сноски"/>
    <w:rPr>
      <w:rFonts w:cs="Times New Roman"/>
      <w:vertAlign w:val="superscript"/>
    </w:rPr>
  </w:style>
  <w:style w:type="character" w:styleId="FootnoteCharacters">
    <w:name w:val="Footnote Characters"/>
    <w:basedOn w:val="DefaultParagraphFont"/>
    <w:uiPriority w:val="99"/>
    <w:qFormat/>
    <w:rsid w:val="00cd39be"/>
    <w:rPr>
      <w:rFonts w:cs="Times New Roman"/>
      <w:vertAlign w:val="superscript"/>
    </w:rPr>
  </w:style>
  <w:style w:type="character" w:styleId="DocumentMapChar" w:customStyle="1">
    <w:name w:val="Document Map Char"/>
    <w:basedOn w:val="DefaultParagraphFont"/>
    <w:link w:val="DocumentMap"/>
    <w:uiPriority w:val="99"/>
    <w:semiHidden/>
    <w:qFormat/>
    <w:locked/>
    <w:rPr>
      <w:rFonts w:cs="Times New Roman"/>
      <w:sz w:val="2"/>
    </w:rPr>
  </w:style>
  <w:style w:type="paragraph" w:styleId="Style16">
    <w:name w:val="Заголовок"/>
    <w:basedOn w:val="Normal"/>
    <w:next w:val="Style17"/>
    <w:qFormat/>
    <w:pPr>
      <w:keepNext w:val="true"/>
      <w:spacing w:before="240" w:after="120"/>
    </w:pPr>
    <w:rPr>
      <w:rFonts w:ascii="PT Sans" w:hAnsi="PT Sans"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Sans" w:hAnsi="PT Sans" w:cs="Noto Sans Devanagari"/>
    </w:rPr>
  </w:style>
  <w:style w:type="paragraph" w:styleId="Style19">
    <w:name w:val="Caption"/>
    <w:basedOn w:val="Normal"/>
    <w:qFormat/>
    <w:pPr>
      <w:suppressLineNumbers/>
      <w:spacing w:before="120" w:after="120"/>
    </w:pPr>
    <w:rPr>
      <w:rFonts w:ascii="PT Sans" w:hAnsi="PT Sans" w:cs="Noto Sans Devanagari"/>
      <w:i/>
      <w:iCs/>
      <w:sz w:val="24"/>
      <w:szCs w:val="24"/>
    </w:rPr>
  </w:style>
  <w:style w:type="paragraph" w:styleId="Style20">
    <w:name w:val="Указатель"/>
    <w:basedOn w:val="Normal"/>
    <w:qFormat/>
    <w:pPr>
      <w:suppressLineNumbers/>
    </w:pPr>
    <w:rPr>
      <w:rFonts w:ascii="PT Sans" w:hAnsi="PT Sans" w:cs="Noto Sans Devanagari"/>
    </w:rPr>
  </w:style>
  <w:style w:type="paragraph" w:styleId="BalloonText">
    <w:name w:val="Balloon Text"/>
    <w:basedOn w:val="Normal"/>
    <w:link w:val="BalloonTextChar"/>
    <w:uiPriority w:val="99"/>
    <w:semiHidden/>
    <w:qFormat/>
    <w:rsid w:val="00d72f0f"/>
    <w:pPr/>
    <w:rPr>
      <w:rFonts w:ascii="Tahoma" w:hAnsi="Tahoma" w:cs="Tahoma"/>
      <w:sz w:val="16"/>
      <w:szCs w:val="16"/>
    </w:rPr>
  </w:style>
  <w:style w:type="paragraph" w:styleId="Style21" w:customStyle="1">
    <w:name w:val="Знак Знак Знак"/>
    <w:basedOn w:val="Normal"/>
    <w:uiPriority w:val="99"/>
    <w:qFormat/>
    <w:rsid w:val="00964f78"/>
    <w:pPr>
      <w:spacing w:lineRule="exact" w:line="240" w:before="0" w:after="160"/>
    </w:pPr>
    <w:rPr>
      <w:rFonts w:ascii="Verdana" w:hAnsi="Verdana" w:cs="Verdana"/>
      <w:sz w:val="20"/>
      <w:szCs w:val="20"/>
      <w:lang w:val="en-US" w:eastAsia="en-US"/>
    </w:rPr>
  </w:style>
  <w:style w:type="paragraph" w:styleId="Style22">
    <w:name w:val="Footnote Text"/>
    <w:basedOn w:val="Normal"/>
    <w:link w:val="FootnoteTextChar"/>
    <w:uiPriority w:val="99"/>
    <w:rsid w:val="00cd39be"/>
    <w:pPr/>
    <w:rPr>
      <w:sz w:val="20"/>
      <w:szCs w:val="20"/>
    </w:rPr>
  </w:style>
  <w:style w:type="paragraph" w:styleId="DocumentMap">
    <w:name w:val="Document Map"/>
    <w:basedOn w:val="Normal"/>
    <w:link w:val="DocumentMapChar"/>
    <w:uiPriority w:val="99"/>
    <w:semiHidden/>
    <w:qFormat/>
    <w:rsid w:val="00e600cf"/>
    <w:pPr>
      <w:shd w:val="clear" w:color="auto" w:fill="000080"/>
    </w:pPr>
    <w:rPr>
      <w:rFonts w:ascii="Tahoma" w:hAnsi="Tahoma" w:cs="Tahoma"/>
      <w:sz w:val="20"/>
      <w:szCs w:val="20"/>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1b4394"/>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Application>LibreOffice/6.4.4.2$Linux_X86_64 LibreOffice_project/40$Build-2</Application>
  <Pages>11</Pages>
  <Words>2363</Words>
  <Characters>15986</Characters>
  <CharactersWithSpaces>18152</CharactersWithSpaces>
  <Paragraphs>494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2019-01-31T12:06:00Z</dcterms:created>
  <dc:creator>zzz</dc:creator>
  <dc:description/>
  <dc:language>ru-RU</dc:language>
  <cp:lastModifiedBy/>
  <cp:lastPrinted>2017-08-29T13:35:00Z</cp:lastPrinted>
  <dcterms:modified xsi:type="dcterms:W3CDTF">2023-01-27T10:02:37Z</dcterms:modified>
  <cp:revision>15</cp:revision>
  <dc:subject/>
  <dc:title>СОГЛАСОВАНО:                                                 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