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Учетная политика для целей бюджетного учета на 2020 год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Calibri" w:hAnsi="Calibri" w:cs="Calibri"/>
        </w:rPr>
      </w:pP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Учетная политика государственного казенного учреждения Брянской области</w:t>
      </w:r>
      <w:r w:rsidR="00B374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37421">
        <w:rPr>
          <w:rFonts w:ascii="Times New Roman" w:hAnsi="Times New Roman" w:cs="Times New Roman"/>
          <w:color w:val="000000"/>
          <w:sz w:val="24"/>
          <w:szCs w:val="24"/>
        </w:rPr>
        <w:t xml:space="preserve">Отдел социальной защиты населения </w:t>
      </w:r>
      <w:proofErr w:type="spellStart"/>
      <w:r w:rsidR="00B37421">
        <w:rPr>
          <w:rFonts w:ascii="Times New Roman" w:hAnsi="Times New Roman" w:cs="Times New Roman"/>
          <w:color w:val="000000"/>
          <w:sz w:val="24"/>
          <w:szCs w:val="24"/>
        </w:rPr>
        <w:t>Мглинского</w:t>
      </w:r>
      <w:proofErr w:type="spellEnd"/>
      <w:r w:rsidR="00B37421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разработана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соответствии: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 приказом Минфина от 01.12.2010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proofErr w:type="gramStart"/>
      <w:r w:rsidRPr="002142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б утверждении Единого плана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счетов бухгалтерского учета для органов государственной власти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государственных органов), органов местного самоуправления, органов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управления государственными внебюджетными фондами, государственных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академий наук, государственных (муниципальных) учреждений и Инструкции по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его применению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далее –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157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приказом Минфина от 06.12.2010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162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Плана счетов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бюджетного учета и Инструкции по его применению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№ 162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приказом Минфина 06.06.2019 № 85н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далее – приказ № 85н);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приказом Минфина от 29.11.2017 № 209н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Порядка применения классификации операций сектора государственного управления</w:t>
      </w:r>
      <w:proofErr w:type="gramStart"/>
      <w:r w:rsidRPr="002142BF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далее – приказ № 209н);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приказом Минфина от 30.03.2015 № 52н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далее – приказ № 52н);</w:t>
      </w:r>
    </w:p>
    <w:p w:rsidR="002142BF" w:rsidRP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федеральными стандартами бухгалтерского учета для организаций государственного сектора, утвержденными приказами Минфина от 31.12.2016 №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256н, № 257н, № 258н, № 259н, № 260н (далее – соответственно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 основы бухучета и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Аренда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Обесценение активов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Представление бухгалтерской (финансовой)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30.12.2017 № 274н, 275н, 278н (далее – соответственно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Учетная политика, оценочные значения и ошибки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События после отчетной даты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Отчет о движении денежных средств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27.02.2018 № 32н (далее –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Доходы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 28.02.2018 № 34н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(далее –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Непроизведенные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активы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30.05.2018 №122н, № 124н (далее – соответственно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Влияние изменений курсов иностранных валют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Резервы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07.12.2018 № 256н (далее –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Запасы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29.06.2018 № 145н (далее –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Долгосрочные договоры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Calibri" w:hAnsi="Calibri" w:cs="Calibri"/>
        </w:rPr>
      </w:pP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Используемые термины и сокращения: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4627"/>
        <w:gridCol w:w="4733"/>
      </w:tblGrid>
      <w:tr w:rsidR="002142BF">
        <w:trPr>
          <w:trHeight w:val="1"/>
        </w:trPr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Расшифровка </w:t>
            </w:r>
          </w:p>
        </w:tc>
      </w:tr>
      <w:tr w:rsidR="002142BF" w:rsidRPr="002142BF">
        <w:trPr>
          <w:trHeight w:val="1"/>
        </w:trPr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Pr="002142BF" w:rsidRDefault="002142BF" w:rsidP="00B37421">
            <w:pPr>
              <w:autoSpaceDE w:val="0"/>
              <w:autoSpaceDN w:val="0"/>
              <w:adjustRightInd w:val="0"/>
              <w:spacing w:before="100" w:after="28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государственное казенное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учреждениеБрянской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области </w:t>
            </w:r>
            <w:r w:rsidRPr="0021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Отдел социальной защиты населения </w:t>
            </w:r>
            <w:proofErr w:type="spellStart"/>
            <w:r w:rsidR="00B374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Мглинского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района</w:t>
            </w:r>
            <w:r w:rsidRPr="0021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142BF" w:rsidRPr="002142BF">
        <w:trPr>
          <w:trHeight w:val="1"/>
        </w:trPr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P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</w:rPr>
            </w:pPr>
            <w:r w:rsidRPr="0021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1–17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разряды номера счета в соответствии с Рабочим планом счетов</w:t>
            </w:r>
          </w:p>
        </w:tc>
      </w:tr>
      <w:tr w:rsidR="002142BF">
        <w:trPr>
          <w:trHeight w:val="1"/>
        </w:trPr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разряд – соответствующая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подстатьяКОСГУ</w:t>
            </w:r>
            <w:proofErr w:type="spellEnd"/>
          </w:p>
        </w:tc>
      </w:tr>
      <w:tr w:rsidR="002142BF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right="75"/>
              <w:rPr>
                <w:rFonts w:ascii="Calibri" w:hAnsi="Calibri" w:cs="Calibri"/>
                <w:lang w:val="en-US"/>
              </w:rPr>
            </w:pPr>
          </w:p>
        </w:tc>
      </w:tr>
    </w:tbl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Общие положения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Бюджетный учет ведет структурное подразделение – бухгалтерия, возглавляемая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главным бухгалтером. Сотрудники бухгалтерии руководствуются в работе Положением 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бухгалтерии, должностными инструкциями.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Ответственным за ведение бюджетного учета в учреждении является главный бухгалтер.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часть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статьи 7 Закона от 06.12.2011 № 402-ФЗ, пункт 4 Инструкции 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Единому плану счетов № 157н.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учреждении действуют постоянные комиссии: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комиссия по поступлению и выбытию активов (приложение 1);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инвентаризационная комиссия (приложение 2);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комиссия по проверке показаний спидометров автотранспорта (приложение 3);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комиссия для проведения внезапной ревизии кассы (приложение 4).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Учреждение публикует основные положения учетной политики на своем официальном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сайте путем размещения копий документов учетной политики.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9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Учетная политика, оценочные значения и ошибки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внесении изменений в учетную политику главный бухгалтер оценивает в целях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сопоставления отчетности существенность изменения показателей, отражающих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финансовое положение, финансовые результаты деятельности учреждения и движение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его денежных средств на основе своего профессионального суждения. Также на основе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профессионального суждения оценивается существенность ошибок отчетного периода,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выявленных после утверждения отчетности, в целях принятия решения о раскрытии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Пояснениях к отчетности информации о существенных ошибках.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пункты 17, 20, 32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Учетная политика, оценочные значения и ошибки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214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Технология обработки учетной информации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Бухучет ведется в электронном виде с применением программных продуктов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>«1-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:Б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ухгалтерия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«1-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С:Зарплата и кадры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6 Инструкции к Единому плану счетов № 157н.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 использованием телекоммуникационных каналов связи и электронной подписи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бухгалтерия учреждения осуществляет электронный документооборот по следующим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направлениям: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система электронного документооборота с территориальным органом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Федерального казначейства;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передача бухгалтерской отчетности учредителю;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передача отчетности по налогам, сборам и иным обязательным платежам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инспекцию Федеральной налоговой службы;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передача отчетности в отделение Пенсионного фонда России;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передача отчетности в фонд социального страхования России;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передача отчетности в БРЯНСКСТАТ;</w:t>
      </w:r>
    </w:p>
    <w:p w:rsidR="002142BF" w:rsidRP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размещение информации о деятельности учреждения на официальном сайте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bus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Pr="002142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142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Без надлежащего оформления первичных (сводных) учетных документов любые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исправления (добавление новых записей) в электронных базах данных не допускаются.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целях обеспечения сохранности электронных данных бухучета и отчетности:</w:t>
      </w:r>
    </w:p>
    <w:p w:rsidR="002142BF" w:rsidRP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сервере еженедельно производится сохранение резервных копий базы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Бухгалтерия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ежемесячно –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Зарплата и кадры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 итогам отчетного года после сдачи отчетности производится запись копии базы данных на внешний носитель – CD-диск, который хранится в сейфе главного бухгалтера;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19 Инструкции к Единому плану счетов № 157н, пункт 33 СГС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 основы бухучета и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214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Правила документооборота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Порядок и сроки передачи первичных учетных документов для отражения в бухучете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устанавливаются в соответствии с приложением 17 к настоящей учетной политике.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22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 основы бухучета и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подпункт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proofErr w:type="spellEnd"/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пункта 9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Учетная политика, оценочные значения и ошибки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проведении хозяйственных операций, для оформления которых не предусмотрены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типовые формы первичных документов, используются: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самостоятельно разработанные формы, которые приведены в приложении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12;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унифицированные формы, дополненные необходимыми реквизитами.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пункты 25–26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 основы бухучета и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подпункт 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пункта 9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Учетная политика, оценочные значения и ошибки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Право подписи учетных документов предоставлено должностным лицам,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перечисленным в приложении 13.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11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Учреждение использует унифицированные формы первичных документов,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перечисленные в приложении 1 к приказу № 52н. При необходимости формы регистров,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которые не унифицированы, разрабатываются самостоятельно.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11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н, подпункт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пункта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Учетная политика, оценочные значения и ошибки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Формирование электронных регистров бухучета осуществляется в следующем порядке: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регистрах в хронологическом порядке систематизируются первичные (сводные)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учетные документы по датам совершения операций, дате принятия к учету первичного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документа;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журнал регистрации приходных и расходных ордеров составляется ежемесячно,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последний рабочий день месяца;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инвентарная карточка учета основных средств оформляется при принятии объекта к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учету, по мере внесения изменений (данных о переоценке, модернизации, реконструкции,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консервации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д.) и при выбытии. При отсутствии указанных событий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ежегодно, на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последний рабочий день года, со сведениями о начисленной амортизации;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инвентарная карточка группового учета основных средств оформляется при принятии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объектов к учету, по мере внесения изменений (данных о переоценке, модернизации,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реконструкции, консервации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д.) и при выбытии;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опись инвентарных карточек по учету основных средств, инвентарный список основных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средств, реестр карточек заполняются ежегодно, в последний день года;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книга учета бланков строгой отчетности, книга аналитического учета депонированной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зарплаты и стипендий заполняются ежемесячно, в последний день месяца;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журналы операций, главная книга заполняются ежемесячно;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другие регистры, не указанные выше, заполняются по мере необходимости, если иное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 установлено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РФ.</w:t>
      </w:r>
      <w:proofErr w:type="gramEnd"/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11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Журнал операций расчетов по оплате труда, денежному довольствию и стипендиям (ф.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0504071)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ведется раздельно по кодам финансового обеспечения деятельности 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раздельно по счетам: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КБК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1.302.11.000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по заработной плате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КБК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1.302.13.000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по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начислениям на выплаты по оплате труда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КБК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1.302.12.000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по прочим несоциальным выплатам персоналу в денежной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форме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КБК 1.302.14.000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по прочим несоциальным выплатам персоналу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натуральной форме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КБК Х.302.66.000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по социальным пособиям и компенсациям персоналу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денежной форме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КБК Х.302.67.000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по социальным компенсациям персоналу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натуральной форме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КБК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1.302.96.000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по иным выплатам текущего характера физическим лицам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257 Инструкции к Единому плану счетов № 157н.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Журналам операций присваиваются номера согласно приложению 11. Журналы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операций подписываются главным бухгалтером и бухгалтером, составившим журнал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операций.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Первичные и сводные учетные документы, бухгалтерские регистры составляются в 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форме электронного документа, подписанного квалифицированно электронной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подписью. При отсутствии возможности составить документ, регистр в электронном виде,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он может быть составлен на бумажном носителе и заверен собственноручной подписью.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Список сотрудников, имеющих право подписи электронных документов и регистров бухучета, утверждается отдельным приказом.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часть 5 статьи 9 Закона от 06.12.2011 № 402-ФЗ, пункт 11 Инструкции к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Единому плану счетов № 157н, пункт 32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 основы бухучета 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Методические указания, утвержденные приказом Минфина от 30.03.2015 №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52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н, статья 2 Закона от 06.04.2011 № 63-ФЗ.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Электронные документы, подписанные квалифицированной электронной подписью,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хранятся в электронном виде на съемных носителях информации в соответствии с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порядком учета и хранения съемных носителей информации. При этом ведется журнал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учета и движения электронных носителей. Журнал должен быть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пронумерован,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прошнурован и скреплен печатью учреждения. Ведение и хранение журнала возлагается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приказом руководителя на ответственного сотрудника учреждения.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33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 основы бухучета и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пункт 14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Инструкции к Единому плану счетов № 157н.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деятельности учреждения используются следующие бланки строгой отчетности: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бланки трудовых книжек и вкладышей к ним;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бланки удостоверений льготных категорий граждан.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Учет бланков ведется по стоимости их приобретения.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337 Инструкции к Единому плану счетов № 157н.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Перечень должностей сотрудников, ответственных за учет, хранение и выдачу бланков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строгой отчетности, приведен в приложении 5.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Особенности применения первичных документов: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приобретении и реализации основных средств, нематериальных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непроизведенных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активов составляется Акт о приеме-передаче объектов нефинансовых активов (ф. 0504101).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12.2.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ремонте нового оборудования, неисправность которого была выявлена при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монтаже, составляется акт о выявленных дефектах оборудования по форме № ОС-16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0306008).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12.3.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Табеле учета использования рабочего времени (ф. 0504421) регистрируются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случаи отклонений от нормального использования рабочего времени, установленного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Правилами трудового распорядка.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Табель учета использования рабочего времени (ф. 0504421) дополнен условными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обозначениями.</w:t>
      </w: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834"/>
        <w:gridCol w:w="991"/>
      </w:tblGrid>
      <w:tr w:rsidR="002142BF">
        <w:trPr>
          <w:trHeight w:val="1"/>
        </w:trPr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2142BF">
        <w:trPr>
          <w:trHeight w:val="1"/>
        </w:trPr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Дополнительные выходные 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оплачиваемые)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</w:t>
            </w:r>
          </w:p>
        </w:tc>
      </w:tr>
      <w:tr w:rsidR="002142BF">
        <w:trPr>
          <w:trHeight w:val="1"/>
        </w:trPr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Заключение под стражу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ЗС</w:t>
            </w:r>
          </w:p>
        </w:tc>
      </w:tr>
      <w:tr w:rsidR="002142BF">
        <w:trPr>
          <w:trHeight w:val="1"/>
        </w:trPr>
        <w:tc>
          <w:tcPr>
            <w:tcW w:w="5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</w:p>
        </w:tc>
      </w:tr>
    </w:tbl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Расширено применение буквенного кода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Выполнение государственных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обязанностей – для случаев выполнения сотрудниками общественных обязанностей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например, для регистрации дней медицинского освидетельствования перед сдачей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крови, дней сдачи крови, дней, когда сотрудник отсутствовал по вызову в военкомат 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военные сборы, по вызову в суд и другие госорганы в качестве свидетеля и пр.).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214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План счетов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Бюджетный учет ведется с использованием Рабочего плана счетов (приложение 6),  разработанного в соответствии с Инструкцией к Единому плану счетов № 157н, Инструкцией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162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пункты 2 и 6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н, пункт 19 СГС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 основы бухучета и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подпункт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пункта 9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Учетная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политика, оценочные значения и ошибки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Кроме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забалансовых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счетов, утвержденных в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н,  учреждение применяет дополнительные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забалансовые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счета, утвержденные в Рабочем  плане счетов (приложении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6).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332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н, пункт 19 СГС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 основы бухучета и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214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Учет отдельных видов имущества и обязательств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Бюджетный учет ведется по первичным документам, которые проверены сотрудниками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бухгалтерии в соответствии с Положением о внутреннем финансовом контроле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14).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3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н, пункт 23 СГС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 основы бухучета и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случаев, которые не установлены в федеральных стандартах и других нормативно-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правовых актах, регулирующих бухучет, метод определения справедливой стоимости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выбирает комиссия учреждения по поступлению и выбытию активов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54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 основы бухучета и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если для показателя, необходимого для ведения бухгалтерского учета, не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установлен метод оценки в законодательстве и в настоящей учетной политике, то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величина оценочного показателя определяется профессиональным суждением главного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бухгалтера.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6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Учетная политика, оценочные значения и ошибки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Calibri" w:hAnsi="Calibri" w:cs="Calibri"/>
        </w:rPr>
      </w:pP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Учреждение учитывает в составе основных средств материальные объекты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имущества, независимо от их стоимости, со сроком полезного использования более 12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месяцев, а также штампы, печати и инвентарь. Перечень объектов, которые относятся 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группе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Инвентарь производственный и хозяйственный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приведен в приложении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один инвентарный объект, признаваемый комплексом объектов основных средств,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объединяются объекты имущества несущественной стоимости, имеющие одинаковые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сроки полезного и ожидаемого использования: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мебель для обстановки одного помещения: столы, стулья, стеллажи, шкафы,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полки;</w:t>
      </w:r>
      <w:proofErr w:type="gramEnd"/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компьютерное и периферийное оборудование: системные блоки, мониторы,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компьютерные мыши, клавиатуры, принтеры, сканеры, колонки, акустические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системы, микрофоны,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веб-камеры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устройства захвата видео, внешние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ТВ-тюнеры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внешние накопители на жестких дисках.</w:t>
      </w:r>
      <w:proofErr w:type="gramEnd"/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 считается существенной стоимость до 20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000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руб. за один имущественный объект.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Необходимость объединения и конкретный перечень объединяемых объектов определяет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комиссия учреждения по поступлению и выбытию активов.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10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Уникальный инвентарный номер состоит из десяти знаков и присваивается в порядке: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 разряд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амортизационная группа, к которой отнесен объект при принятии к учету (при  отнесении инвентарного объекта к 10-й амортизационной группе в данном разряде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проставляется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«0»);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2–4-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 разряды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код объекта учета синтетического счета в Плане счетов бюджетного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учета (приложение 1 к приказу Минфина от 06.12.2010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162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н);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5–6-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 разряды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код группы и вида синтетического счета Плана счетов бюджетного учета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1 к приказу Минфина от 06.12.2010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162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н);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7–10-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 разряды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порядковый номер нефинансового актива.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9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пункт 46 Инструкции к Единому плану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2.4.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Присвоенный объекту инвентарный номер обозначается путем нанесения номера на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инвентарный объект краской, водостойким маркером или иным способом, обеспечивающим сохранность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марткировки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если объект является сложным (комплексом конструктивно сочлененных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предметов), инвентарный номер обозначается на каждом составляющем элементе тем же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способом, что и на сложном объекте.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Затраты по замене отдельных составных частей объекта основных средств, в том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числе при капитальном ремонте, включаются в момент их возникновения в стоимость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объекта. Одновременно с его стоимости списывается в текущие расходы стоимость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заменяемых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выбываемых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составных частей. Данное правило применяется к следующим</w:t>
      </w:r>
      <w:r>
        <w:rPr>
          <w:rFonts w:ascii="Times New Roman CYR" w:hAnsi="Times New Roman CYR" w:cs="Times New Roman CYR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группам основных средств: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машины и оборудование;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транспортные средства;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инвентарь производственный и хозяйственный.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27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частичной ликвидации или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разукомплектации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объекта основного средства,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если стоимость ликвидируемых (разукомплектованных) частей не выделена в документах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поставщика, стоимость таких частей определяется пропорционально следующему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показателю (в порядке убывания важности):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площади;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объему;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весу;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иному показателю, установленному комиссией по поступлению и выбытию активов.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Затраты на создание активов при проведении регулярных осмотров на предмет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наличия дефектов, являющихся обязательным условием их эксплуатации, а также при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проведении ремонтов формируют объем произведенных капитальных вложений с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дальнейшим признанием в стоимости объекта основных средств. Одновременно учтенная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ранее в стоимости объекта основных средств сумма затрат на проведение предыдущего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ремонта подлежит списанию в расходы текущего периода. Данное правило применяется к</w:t>
      </w:r>
      <w:r>
        <w:rPr>
          <w:rFonts w:ascii="Times New Roman CYR" w:hAnsi="Times New Roman CYR" w:cs="Times New Roman CYR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следующим группам основных средств: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машины и оборудование;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транспортные средства.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28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Начисление амортизации осуществляется следующим образом линейным методом в соответствии со сроком полезного использования основных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средств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мортизация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начисляется с 1-го числа месяца, следующего за месяцем принятия основных средств к бухгалтерскому учету. Начисление прекращается с 1-го числа месяца, в котором остаточная стоимость объекта равна нулю.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пункты 36, 37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переоценке объекта основных средств накопленная амортизация на дату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переоценки пересчитывается пропорционально изменению первоначальной стоимости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объекта таким образом, чтобы его остаточная стоимость после переоценки равнялась его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переоцененной стоимости. При этом балансовая стоимость и накопленная амортизация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увеличиваются (умножаются) на одинаковый коэффициент таким образом, чтобы при их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суммировании получить переоцененную стоимость на дату проведения переоценки.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41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полезного использования объектов основных средств устанавливает комиссия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поступлению и выбытию в соответствии с пунктом 35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 комиссии по поступлению и выбытию активов установлен в приложении 1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настоящей Учетной политики.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 стоимостью до 10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000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руб. включительно, находящиеся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эксплуатации, учитываются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забалансовом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счете 21по балансовой стоимости.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39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пункт 373 Инструкции к Единому плану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счетов № 157н.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Локально-вычислительная сеть (ЛВС) и охранно-пожарная сигнализация (ОПС) как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отдельные инвентарные объекты не учитываются. Отдельные элементы ЛВС и ОПС,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которые соответствуют критериям основных средств, установленным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средства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учитываются как отдельные основные средства. Элементы ЛВС или ОПС, для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которых установлен одинаковый срок полезного использования, учитываются как единый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инвентарный объект в порядке, установленном в пункте 2.2 раздела V настоящей Учетной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политики.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2.14.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Расходы на доставку нескольких имущественных объектов распределяются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первоначальную стоимость этих объектов пропорционально их стоимости, указанной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договоре поставки.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2.15.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Передача в пользование объектов, которые содержатся за счет учреждения,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отражается как внутреннее перемещение. Учет таких объектов ведется на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дополнительном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забалансовом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счете 43П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Имущество, переданное в пользование, – не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 аренды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Материальные запасы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Учреждение учитывает в составе материальных запасов материальные объекты,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указанные в пунктах 98–99 Инструкции к Единому плану счетов № 157н, а также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производственный и хозяйственный инвентарь, перечень которого приведен в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Единица учета материальных запасов в учреждении – номенклатурная (реестровая) единица. Исключение: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одинаковыми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диаметром и количеством штук в коробке и т. д. Единица учета таких материальных запасов – однородная (реестровая) группа запасов.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Решение о применении единиц учета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однородная (реестровая) группа запасов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партия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бухгалтер на основе своего профессионального суждения.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8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Запасы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Списание материальных запасов производится по средней фактической стоимости.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108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Нормы на расходы горюче-смазочных материалов (ГСМ) разрабатываются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специализированной организацией и утверждаются приказом руководителя учреждения.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Ежегодно приказом руководителя утверждаются период применения зимней надбавки 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нормам расхода ГСМ и ее величина.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ГСМ списывается на расходы по фактическому расходу на основании путевых листов, но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 выше норм, установленных приказом руководителя учреждения.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Выдача в эксплуатацию на нужды учреждения канцелярских принадлежностей, запасных частей и хозяйственных материалов оформляется Ведомостью выдачи материальных ценностей на нужды учреждения (ф. 0504210). Эта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ведомость является основанием для списания материальных запасов.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Мягкий и хозяйственный инвентарь списываются по Акту о списании мягкого и  хозяйственного инвентаря (ф. 0504143).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остальных случаях материальные запасы списываются по акту о списании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материальных запасов (ф. 0504230).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Учет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забалансовом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счете 09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Запасные части к транспортным средствам,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выданные взамен изношенных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ведется в условной оценке 1 руб. за 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шт. Учету подлежат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запасные части и другие комплектующие, которые могут быть использованы на других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автомобилях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нетипизированные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запчасти и комплектующие), такие как:</w:t>
      </w:r>
      <w:proofErr w:type="gramEnd"/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автомобильные шины;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колесные диски;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аккумуляторы;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наборы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автоинструмента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аптечки;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огнетушители и др.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Аналитический учет по счету ведется в разрезе автомобилей и материально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ответственных лиц.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Поступление на счет 09 отражается: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установке (передаче материально ответственному лицу) соответствующих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запчастей после списания со счета КБК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1.105.36.44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Х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Прочие материальные запасы –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иное движимое имущество учреждения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безвозмездном поступлении автомобиля от государственных (муниципальных)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учреждений с документальной передачей остатков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забалансового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счета 09.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 безвозмездном получении от государственных (муниципальных) учреждений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запасных частей, учитываемых передающей стороной на счете 09, но не подлежащих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учету на указанном счете в соответствии с настоящей учетной политикой,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оприходование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запчастей на счет 09 не производится.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Внутреннее перемещение по счету отражается при передаче другому материально ответственному лицу.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Выбытие со счета 09 отражается: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списании автомобиля по установленным основаниям;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установке новых запчастей взамен непригодных к эксплуатации.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пункты 349–350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Фактическая стоимость материальных запасов, полученных в результате ремонта,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разборки, утилизации (ликвидации) основных средств или иного имущества, определяется исходя из: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их справедливой стоимости на дату принятия к бухгалтерскому учету, рассчитанной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методом рыночных цен;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сумм, уплачиваемых учреждением за доставку материальных запасов, приведение их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состояние, пригодное для использования.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пункты 52–60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 основы бухучета и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Calibri" w:hAnsi="Calibri" w:cs="Calibri"/>
        </w:rPr>
      </w:pP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19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Запасы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Стоимость безвозмездно полученных нефинансовых активов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Учреждение имеет в пользовании имущество (нежилое помещение), полученное в безвозмездное пользование по договору безвозмездного пользования (договору ссуды). В соответствии с договором учреждение получает право пользования имуществом для извлечения его полезного потенциала в целях выполнения государственных функций (полномочий), а также несет расходы по содержанию полученного имущества, расходы по текущему и капитальному ремонту. Право пользования имуществом признается в качестве объекта аренды и отражается в бухгалтерском учете по справедливой стоимости. Стоимость объекта аренды (нежилого помещения) в бухгалтерском учете определена в размере 1 руб. в месяц на период действия договора.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по доходам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Учреждение осуществляет бюджетные полномочия администратора доходов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бюджета. Порядок осуществления полномочий администратора доходов бюджета определяется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соответствии с законодательством России и нормативными документами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ведомства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еречень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администрируемых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доходов утверждается главным администратором доходов бюджета (вышестоящим ведомством).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с подотчетными лицами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Денежные средства выдаются под отчет на основании приказа руководителя. Выдача денежных средств под отчет производится путем перечисления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зарплатную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карту сотрудника.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Учреждение выдает денежные средства под отчет штатным сотрудникам, а также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лицам, которые не состоят в штате, на основании отдельного приказа руководителя.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по выданным суммам проходят в порядке, установленном для штатных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сотрудников.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Предельная сумма выдачи денежных средств под отчет (за исключением расходов на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командировки) устанавливается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размере 20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000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Двадцать тысяч)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6.4.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Денежные средства выдаются под отчет на хозяйственные нужды на срок не более пяти рабочих дней. По истечении этого срока сотрудник должен отчитаться в течение трех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рабочих дней.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направлении сотрудников учреждения в служебные командировки на территории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России расходы на них возмещаются в соответствии с постановлением Правительства от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02.10.2002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729.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Возмещение расходов на служебные командировки, превышающих размер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установленный Правительством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РФ, производится при наличии экономии бюджетных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средств по фактическим расходам с разрешения руководителя учреждения,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оформленного приказом.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пункты 2, 3 постановления Правительства от 02.10.2002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729.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Порядок оформления служебных командировок и возмещения командировочных расходов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приведен в приложении 8.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возвращении из командировки сотрудник представляет авансовый отчет об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израсходованных суммах в течение трех рабочих дней.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26 постановления Правительства от 13.10.2008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749.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Предельные сроки отчета по выданным доверенностям на получение материальных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ценностей устанавливаются следующие: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течение 10 календарных дней с момента получения;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течение трех рабочих дней с момента получения материальных ценностей.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Доверенности выдаются штатным сотрудникам, с которыми заключен договор о полной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материальной ответственности.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6.8.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Авансовые отчеты брошюруются в хронологическом порядке в последний день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отчетного месяца.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с дебиторами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Учреждение администрирует поступления в бюджет на счете КБК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1.210.02.000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правилам, установленным главным администратором доходов бюджета.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по обязательствам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счету КБК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1.303.05.000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Расчеты по прочим платежам в бюджет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применяются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дополнительные аналитические коды: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>1 –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Государственная пошлина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КБК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1.303.15.000);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2 –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Транспортный налог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КБК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1.303.25.000);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3 –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Пени, штрафы, санкции по налоговым платежам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КБК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1.303.35.000)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др.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8.2.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Аналитический учет расчетов по пособиям и иным социальным выплатам ведется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разрезе физических лиц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получателей социальных выплат. Перечисления на счета получателей производится через отделение почтовой связи, кредитные учреждения.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Аналитический учет расчетов по оплате труда ведется в разрезе сотрудников.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Дебиторская и кредиторская задолженность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9.1.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Дебиторская задолженность списывается с учета после того, как комиссия по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339 Инструкции к Единому плану счетов № 157н, пункт 11 СГС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Доходы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9.2.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Кредиторская задолженность, не востребованная кредитором, списывается на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финансовый результат на основании решения инвентаризационной комиссии о признании задолженности невостребованной.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Одновременно списанная с балансового учета кредиторская задолженность отражается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забалансовом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счете 20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Задолженность, не востребованная кредиторами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забалансового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учета задолженность списывается на основании решения инвентаризационной комиссии учреждения: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истечении пяти лет отражения задолженности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забалансовом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учете;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завершении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срока возможного возобновления процедуры взыскания задолженности</w:t>
      </w:r>
      <w:proofErr w:type="gramEnd"/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согласно действующему законодательству;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наличии документов, подтверждающих прекращение обязательства в связи со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смертью (ликвидацией) контрагента.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Кредиторская задолженность списывается с баланса отдельно по каждому обязательству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кредитору).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пункты 371, 372 Инструкции к Единому плану счетов № 157н.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Финансовый результат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Учреждение все расходы производит в соответствии с утвержденной на отчетный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 бюджетной сметой и в пределах установленных норм: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междугородние переговоры, услуги по доступу в Интернет – по фактическому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расходу;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стоимость израсходованных ГСМ — по фактическому расходу по нормам, действующим для марки автомобиля — 9,8 литров на 100 км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зимний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преод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8,9 литров на 100 км. в летний период.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10.2.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составе расходов будущих периодов на счете КБК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1.401.50.000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Расходы будущих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периодов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отражаются расходы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страхованию имущества, гражданской ответственности;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приобретению неисключительного права пользования нематериальными активами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течение нескольких отчетных периодов;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подписка на газеты.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Расходы будущих периодов списываются на финансовый результат текущего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финансового года равномерно по 1/12 за месяц в течение периода, к которому они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относятся. По договорам страхования, договорам неисключительного права пользования период, к которому относятся расходы, равен сроку действия договора.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пункты 302, 302.1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10.4 </w:t>
      </w:r>
      <w:r w:rsidRPr="002142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учреждении создаются: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резерв на предстоящую оплату отпусков. Порядок расчета резерва приведен в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приложении 15.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пункты 302, 302.1 Инструкции к Единому плану счетов № 157н, пункты 7, 21 СГС 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Резервы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Санкционирование расходов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Принятие бюджетных (денежных) обязательств к учету осуществлять в пределах лимитов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бюджетных обязательств в порядке, приведенном в приложении 9.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События после отчетной даты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Признание в учете и раскрытие в бюджетной отчетности событий после отчетной даты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осуществляется в порядке, приведенном в приложении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16.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Непроизведенные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активы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Объекты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непроизведенных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активов, не приносящие учреждению экономические выгоды, не имеющие полезного потенциала и в отношении которых в дальнейшем не предусматривается получение экономических выгод, учитываются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забалансовом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счете 60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Непроизведенные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активы без потенциала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142BF">
        <w:rPr>
          <w:rFonts w:ascii="Times New Roman" w:hAnsi="Times New Roman" w:cs="Times New Roman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7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Непроизведенные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активы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214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Инвентаризация имущества и обязательств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Инвентаризацию имущества и обязательств (в т. ч. числящихся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забалансовых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счетах), а также финансовых результатов (в т. ч. расходов будущих периодов и резервов)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проводит постоянно действующая инвентаризационная комиссия. Порядок и график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проведения инвентаризации приведены в приложении 10.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отдельных случаях (при смене материально ответственных лиц, выявлении фактов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хищения, стихийных бедствиях и т.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д.) инвентаризацию может проводить специально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созданная рабочая комиссия, состав которой утверждается отельным приказом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руководителя.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статья 11 Закона от 06.12.2011 № 402-ФЗ, раздел VIII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Концептуальные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основы бухучета и отчетности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 комиссии для проведения внезапной ревизии кассы приведен в приложении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214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организации и обеспечения внутреннего финансового контроля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Внутренний финансовый контроль в учреждении осуществляет комиссия. Помимо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комиссии постоянный текущий контроль в ходе своей деятельности осуществляют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рамках своих полномочий: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руководитель учреждения, его заместитель;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главный бухгалтер, сотрудник бухгалтерии;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иные должностные лица учреждения в соответствии со своими обязанностями.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Положение о внутреннем финансовом контроле и график проведения внутренних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проверок финансово-хозяйственной деятельности приведены в приложении 14.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Основание: пункт 6 Инструкции к Единому плану счетов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214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Бюджетная отчетность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Бюджетная отчетность составляется на основании аналитического и синтетического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учета по формам, в объеме и в сроки, установленные вышестоящей организацией 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бюджетным законодательством (приказ Минфина от 28.12.2010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191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н). Бюджетная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отчетность представляется главному распорядителю бюджетных средств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установленные им сроки.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целях составления отчета о движении денежных средств величина денежных средств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определяется прямым методом и рассчитывается как разница между всеми денежными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притоками учреждения от всех видов деятельности и их оттоками.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Основание: пункт 19 СГС 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Отчет о движении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денежных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средств</w:t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214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передачи документов бухгалтерского учета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при смене руководителя и главного бухгалтера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смене руководителя или главного бухгалтера учреждения (далее – увольняемые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лица) они обязаны в рамках передачи дел заместителю, новому должностному лицу,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бухгалтерии.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Передача бухгалтерских документов и печатей проводится на основании приказа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руководителя учреждения или департамента семьи, социальной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деиографической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политики Брянской области, осуществляющего функции 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полномочия учредителя (далее – учредитель).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Передача документов бухучета, печатей и штампов осуществляется при участии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комиссии, создаваемой в учреждении. 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их количество и тип. Акт приема-передачи дел должен полностью отражать все существенные недостатки и нарушения в организации работы бухгалтерии. Акт приема-передачи подписывается уполномоченным лицом, принимающим дела, и членами комиссии.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комиссию, указанную в пункте 3 настоящего Порядка, включаются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сотрудники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(или) учредителя в соответствии с приказом на передачу бухгалтерских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документов.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Передаются следующие документы: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учетная политика со всеми приложениями;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квартальные и годовые бухгалтерские отчеты и балансы, налоговые декларации;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бюджетная смета учреждения, план-график закупок,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обоснования к планам;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бухгалтерские регистры синтетического и аналитического учета: книги, оборотные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ведомости, карточки, журналы операций;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задолженности учреждения, в том числе по уплате налогов;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состоянии лицевых счетов учреждения;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 учету зарплаты и по персонифицированному учету;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фондовой кассе: 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денежные документы и т. д.;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акт о состоянии кассы, составленный на основании ревизии кассы и скрепленный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подписью главного бухгалтера;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договоры с поставщиками и подрядчиками, контрагентами, аренды и т. д.;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договоры с покупателями услуг и работ, подрядчиками и поставщиками;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учредительные документы и свидетельства: постановка на учет, присвоение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номеров, внесение записей в единый реестр, коды и т. п.;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недвижимом имуществе, транспортных средствах учреждения: свидетельства 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праве собственности, выписки из ЕГРП, паспорта транспортных средств и т. п.;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 основных средствах, нематериальных активах и товарно-материальных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ценностях;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акты о результатах полной инвентаризации имущества и финансовых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обязательств учреждения с приложением инвентаризационных описей, акта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проверки кассы учреждения;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акты сверки расчетов, подтверждающие состояние дебиторской и кредиторской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задолженности, перечень нереальных к взысканию сумм дебиторской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задолженности с исчерпывающей характеристикой по каждой сумме;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акты ревизий и проверок;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материалы о недостачах и хищениях, переданных и не переданных в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правоохранительные органы;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бланки строгой отчетности;</w:t>
      </w:r>
    </w:p>
    <w:p w:rsidR="002142BF" w:rsidRDefault="002142BF" w:rsidP="002142BF">
      <w:pPr>
        <w:numPr>
          <w:ilvl w:val="0"/>
          <w:numId w:val="1"/>
        </w:numPr>
        <w:autoSpaceDE w:val="0"/>
        <w:autoSpaceDN w:val="0"/>
        <w:adjustRightInd w:val="0"/>
        <w:spacing w:before="100" w:after="28" w:line="240" w:lineRule="auto"/>
        <w:ind w:left="780" w:right="18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иная бухгалтерская документация, свидетельствующая о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учреждения.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приема-передачи оформляется в последний рабочий день увольняемого лица в</w:t>
      </w:r>
      <w:r>
        <w:rPr>
          <w:rFonts w:ascii="Times New Roman CYR" w:hAnsi="Times New Roman CYR" w:cs="Times New Roman CYR"/>
        </w:rPr>
        <w:br/>
      </w: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учреждении.</w:t>
      </w:r>
    </w:p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42BF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приема-передачи дел составляется в трех экземплярах: 1-й экземпляр –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учредителю (руководителю учреждения, если увольняется главный бухгалтер), 2-й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экземпляр – увольняемому лицу, 3-й экземпляр – уполномоченному лицу, которое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принимало дела.</w:t>
      </w:r>
    </w:p>
    <w:p w:rsidR="002142BF" w:rsidRP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4640"/>
        <w:gridCol w:w="1656"/>
        <w:gridCol w:w="3214"/>
      </w:tblGrid>
      <w:tr w:rsidR="002142BF">
        <w:trPr>
          <w:trHeight w:val="1"/>
        </w:trPr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42BF" w:rsidRPr="00B37421" w:rsidRDefault="002142BF" w:rsidP="00B37421">
            <w:pPr>
              <w:autoSpaceDE w:val="0"/>
              <w:autoSpaceDN w:val="0"/>
              <w:adjustRightInd w:val="0"/>
              <w:spacing w:before="100" w:after="28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B3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 Салькова</w:t>
            </w:r>
          </w:p>
        </w:tc>
      </w:tr>
      <w:tr w:rsidR="002142BF">
        <w:trPr>
          <w:trHeight w:val="1"/>
        </w:trPr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42BF" w:rsidRDefault="002142BF">
            <w:pPr>
              <w:autoSpaceDE w:val="0"/>
              <w:autoSpaceDN w:val="0"/>
              <w:adjustRightInd w:val="0"/>
              <w:spacing w:before="100" w:after="28" w:line="240" w:lineRule="auto"/>
              <w:ind w:left="75" w:right="75"/>
              <w:rPr>
                <w:rFonts w:ascii="Calibri" w:hAnsi="Calibri" w:cs="Calibri"/>
                <w:lang w:val="en-US"/>
              </w:rPr>
            </w:pPr>
          </w:p>
        </w:tc>
      </w:tr>
    </w:tbl>
    <w:p w:rsidR="002142BF" w:rsidRDefault="002142BF" w:rsidP="002142BF">
      <w:pPr>
        <w:autoSpaceDE w:val="0"/>
        <w:autoSpaceDN w:val="0"/>
        <w:adjustRightInd w:val="0"/>
        <w:spacing w:before="100" w:after="28" w:line="240" w:lineRule="auto"/>
        <w:rPr>
          <w:rFonts w:ascii="Calibri" w:hAnsi="Calibri" w:cs="Calibri"/>
          <w:lang w:val="en-US"/>
        </w:rPr>
      </w:pPr>
    </w:p>
    <w:p w:rsidR="00795C1B" w:rsidRDefault="00795C1B"/>
    <w:sectPr w:rsidR="00795C1B" w:rsidSect="004B3D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6AC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2BF"/>
    <w:rsid w:val="002142BF"/>
    <w:rsid w:val="002A3E91"/>
    <w:rsid w:val="00795C1B"/>
    <w:rsid w:val="00B3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5583</Words>
  <Characters>31827</Characters>
  <Application>Microsoft Office Word</Application>
  <DocSecurity>0</DocSecurity>
  <Lines>265</Lines>
  <Paragraphs>74</Paragraphs>
  <ScaleCrop>false</ScaleCrop>
  <Company/>
  <LinksUpToDate>false</LinksUpToDate>
  <CharactersWithSpaces>37336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2023-06-27T07:09:00Z</dcterms:created>
  <dcterms:modified xsi:type="dcterms:W3CDTF">2023-06-27T07:25:00Z</dcterms:modified>
</cp:coreProperties>
</file>